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media/image2.png" ContentType="image/png"/>
  <Override PartName="/word/media/image3.wmf" ContentType="image/x-wmf"/>
  <Override PartName="/word/media/image4.wmf" ContentType="image/x-wmf"/>
  <Override PartName="/word/media/image5.wmf" ContentType="image/x-wmf"/>
  <Override PartName="/word/media/image6.wmf" ContentType="image/x-wmf"/>
  <Override PartName="/word/media/image10.wmf" ContentType="image/x-wmf"/>
  <Override PartName="/word/media/image7.wmf" ContentType="image/x-wmf"/>
  <Override PartName="/word/media/image11.wmf" ContentType="image/x-wmf"/>
  <Override PartName="/word/media/image8.wmf" ContentType="image/x-wmf"/>
  <Override PartName="/word/media/image12.wmf" ContentType="image/x-wmf"/>
  <Override PartName="/word/media/image9.wmf" ContentType="image/x-wmf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>DSK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Tolódzkodó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28"/>
          <w:szCs w:val="28"/>
          <w:lang w:val="en-US"/>
        </w:rPr>
      </w:pPr>
      <w:r>
        <w:rPr>
          <w:rFonts w:cs="Arial" w:ascii="Verdana" w:hAnsi="Verdana"/>
          <w:b/>
          <w:sz w:val="28"/>
          <w:szCs w:val="28"/>
          <w:lang w:val="en-US"/>
        </w:rPr>
        <w:t xml:space="preserve">ADATLAP 11.05.08 PS</w:t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049145" cy="1393190"/>
            <wp:effectExtent l="0" t="0" r="0" b="0"/>
            <wp:docPr id="1" name="Image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" t="-16" r="-11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145" cy="139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0"/>
        </w:numPr>
        <w:ind w:firstLine="284" w:end="0"/>
        <w:jc w:val="center"/>
        <w:outlineLvl w:val="0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ind w:firstLine="284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tbl>
      <w:tblPr>
        <w:tblW w:w="7655" w:type="dxa"/>
        <w:jc w:val="start"/>
        <w:tblInd w:w="-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93"/>
        <w:gridCol w:w="6662"/>
      </w:tblGrid>
      <w:tr>
        <w:trPr>
          <w:trHeight w:val="1320" w:hRule="atLeast"/>
        </w:trPr>
        <w:tc>
          <w:tcPr>
            <w:tcW w:w="993" w:type="dxa"/>
            <w:tcBorders/>
          </w:tcPr>
          <w:p>
            <w:pPr>
              <w:pStyle w:val="Normal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cs="Arial" w:ascii="Arial" w:hAnsi="Arial"/>
                <w:b/>
                <w:sz w:val="16"/>
                <w:szCs w:val="16"/>
                <w:lang w:val="en-US" w:eastAsia="en-US"/>
              </w:rPr>
              <w:drawing>
                <wp:inline distT="0" distB="0" distL="0" distR="0">
                  <wp:extent cx="560705" cy="542925"/>
                  <wp:effectExtent l="0" t="0" r="0" b="0"/>
                  <wp:docPr id="2" name="Image1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37" t="-38" r="-37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/>
          </w:tcPr>
          <w:p>
            <w:pPr>
              <w:pStyle w:val="Normal"/>
              <w:ind w:start="-108" w:end="0"/>
              <w:jc w:val="both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Figyelmesen olvassa el az adatlapot, hogy megismerje a „Tolódzkodó” termék összeszerelésére, biztonságos használatára, karbantartására, szállítására és tárolására vonatkozó szabályokat. A továbbiakban: termék.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Az összeszerelést, a szétszerelést és a telepítést csak az adatlap áttanulmányozása után végezze.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Őrizze meg ezt az adatlapot a termék teljes használati ideje alatt.</w:t>
            </w:r>
          </w:p>
          <w:p>
            <w:pPr>
              <w:pStyle w:val="Normal"/>
              <w:ind w:start="-108" w:end="0"/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gyártó fenntartja a jogot a termék kialakításának, összeállításának és műszaki jellemzőinek módosítására a termékfejlesztés során, az ilyen változásokról szóló külön értesítés nélkül.</w:t>
            </w:r>
          </w:p>
          <w:p>
            <w:pPr>
              <w:pStyle w:val="Normal"/>
              <w:ind w:start="-108" w:end="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cs="Arial" w:ascii="Arial" w:hAnsi="Arial"/>
                <w:sz w:val="18"/>
                <w:szCs w:val="18"/>
                <w:lang w:val="en-US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0"/>
          <w:numId w:val="5"/>
        </w:numPr>
        <w:spacing w:lineRule="auto" w:line="36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TERMÉK RENDELTETÉSE</w:t>
      </w:r>
    </w:p>
    <w:p>
      <w:pPr>
        <w:pStyle w:val="Normal"/>
        <w:spacing w:lineRule="auto" w:line="216"/>
        <w:ind w:firstLine="284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tolódzkodó gyakorlatok végzésére szolgál.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beltéri használatra készült.</w:t>
      </w:r>
    </w:p>
    <w:p>
      <w:pPr>
        <w:pStyle w:val="Normal"/>
        <w:spacing w:lineRule="auto" w:line="216"/>
        <w:ind w:firstLine="495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5"/>
        </w:numPr>
        <w:spacing w:lineRule="auto" w:line="216"/>
        <w:jc w:val="center"/>
        <w:rPr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MŰSZAKI ADATOK</w:t>
      </w:r>
    </w:p>
    <w:p>
      <w:pPr>
        <w:pStyle w:val="Normal"/>
        <w:spacing w:lineRule="auto" w:line="36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Táblázat</w:t>
      </w:r>
      <w:r>
        <w:rPr/>
        <w:t xml:space="preserve"> 1</w:t>
      </w:r>
    </w:p>
    <w:tbl>
      <w:tblPr>
        <w:tblW w:w="6264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12"/>
        <w:gridCol w:w="3007"/>
        <w:gridCol w:w="1245"/>
      </w:tblGrid>
      <w:tr>
        <w:trPr>
          <w:trHeight w:val="227" w:hRule="atLeast"/>
        </w:trPr>
        <w:tc>
          <w:tcPr>
            <w:tcW w:w="201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firstLine="34" w:end="0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Befoglaló méretek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20"/>
                <w:lang w:val="en-US"/>
              </w:rPr>
              <w:t xml:space="preserve">Hossz</w:t>
            </w:r>
            <w:r>
              <w:rPr>
                <w:rFonts w:cs="Arial" w:ascii="Verdana" w:hAnsi="Verdana"/>
                <w:sz w:val="18"/>
                <w:szCs w:val="20"/>
              </w:rPr>
              <w:t xml:space="preserve">, </w:t>
            </w:r>
            <w:r>
              <w:rPr>
                <w:rFonts w:cs="Arial" w:ascii="Verdana" w:hAnsi="Verdana"/>
                <w:sz w:val="18"/>
                <w:szCs w:val="20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hanging="175" w:start="175" w:end="0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760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Szélesség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666</w:t>
            </w:r>
          </w:p>
        </w:tc>
      </w:tr>
      <w:tr>
        <w:trPr>
          <w:trHeight w:val="227" w:hRule="atLeast"/>
        </w:trPr>
        <w:tc>
          <w:tcPr>
            <w:tcW w:w="201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</w:r>
          </w:p>
        </w:tc>
        <w:tc>
          <w:tcPr>
            <w:tcW w:w="30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Magasság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460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  <w:lang w:val="en-US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fogantyúk közötti távolság, mm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550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felfüggesztéshez használható fokok átmérője, mm (legfeljebb)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38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Bruttó tömeg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legfeljebb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A használó maximális testtömege</w:t>
            </w:r>
            <w:r>
              <w:rPr>
                <w:rFonts w:cs="Arial" w:ascii="Verdana" w:hAnsi="Verdana"/>
                <w:sz w:val="18"/>
                <w:szCs w:val="18"/>
              </w:rPr>
              <w:t xml:space="preserve">,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>kg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120</w:t>
            </w:r>
          </w:p>
        </w:tc>
      </w:tr>
      <w:tr>
        <w:trPr>
          <w:trHeight w:val="227" w:hRule="atLeast"/>
        </w:trPr>
        <w:tc>
          <w:tcPr>
            <w:tcW w:w="501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-57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Élettartam,</w:t>
            </w:r>
            <w:r>
              <w:rPr>
                <w:rFonts w:cs="Arial" w:ascii="Verdana" w:hAnsi="Verdana"/>
                <w:sz w:val="18"/>
                <w:szCs w:val="18"/>
              </w:rPr>
              <w:t xml:space="preserve"> 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év</w:t>
            </w:r>
            <w:r>
              <w:rPr>
                <w:rFonts w:cs="Arial" w:ascii="Verdana" w:hAnsi="Verdana"/>
                <w:sz w:val="18"/>
                <w:szCs w:val="18"/>
              </w:rPr>
              <w:t xml:space="preserve"> (</w:t>
            </w:r>
            <w:r>
              <w:rPr>
                <w:rFonts w:cs="Arial" w:ascii="Verdana" w:hAnsi="Verdana"/>
                <w:sz w:val="18"/>
                <w:szCs w:val="18"/>
                <w:lang w:val="en-US"/>
              </w:rPr>
              <w:t xml:space="preserve">legalább</w:t>
            </w:r>
            <w:r>
              <w:rPr>
                <w:rFonts w:cs="Arial" w:ascii="Verdana" w:hAnsi="Verdana"/>
                <w:sz w:val="18"/>
                <w:szCs w:val="18"/>
              </w:rPr>
              <w:t>)</w:t>
            </w:r>
          </w:p>
        </w:tc>
        <w:tc>
          <w:tcPr>
            <w:tcW w:w="12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cs="Arial" w:ascii="Verdana" w:hAnsi="Verdana"/>
                <w:sz w:val="18"/>
                <w:szCs w:val="18"/>
              </w:rPr>
              <w:t>5</w:t>
            </w:r>
          </w:p>
        </w:tc>
      </w:tr>
    </w:tbl>
    <w:p>
      <w:pPr>
        <w:pStyle w:val="Normal"/>
        <w:spacing w:lineRule="auto" w:line="216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  <w:drawing>
          <wp:inline distT="0" distB="0" distL="0" distR="0">
            <wp:extent cx="2475230" cy="1859280"/>
            <wp:effectExtent l="0" t="0" r="0" b="0"/>
            <wp:docPr id="3" name="Image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" descr="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16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  <w:r>
        <w:br w:type="page"/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284" w:leader="none"/>
        </w:tabs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FELÉPÍTÉS</w:t>
      </w:r>
    </w:p>
    <w:p>
      <w:pPr>
        <w:pStyle w:val="Normal"/>
        <w:ind w:firstLine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</w:rPr>
      </w:r>
    </w:p>
    <w:p>
      <w:pPr>
        <w:pStyle w:val="Normal"/>
        <w:numPr>
          <w:ilvl w:val="1"/>
          <w:numId w:val="1"/>
        </w:numPr>
        <w:tabs>
          <w:tab w:val="clear" w:pos="708"/>
          <w:tab w:val="left" w:pos="561" w:leader="none"/>
        </w:tabs>
        <w:ind w:hanging="0" w:start="0" w:end="0"/>
        <w:jc w:val="both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termék felépítése</w:t>
      </w:r>
      <w:r>
        <w:rPr>
          <w:rFonts w:cs="Arial" w:ascii="Verdana" w:hAnsi="Verdana"/>
          <w:b/>
          <w:sz w:val="18"/>
          <w:szCs w:val="18"/>
        </w:rPr>
        <w:t>.</w:t>
      </w:r>
    </w:p>
    <w:p>
      <w:pPr>
        <w:pStyle w:val="Normal"/>
        <w:ind w:end="22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fém oszlopokból álló, szétszerelhető keretszerkezet.</w:t>
      </w:r>
    </w:p>
    <w:p>
      <w:pPr>
        <w:pStyle w:val="Normal"/>
        <w:ind w:end="226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1"/>
          <w:numId w:val="1"/>
        </w:numPr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felhasznált anyagokra vonatkozó információk  </w:t>
      </w:r>
    </w:p>
    <w:p>
      <w:pPr>
        <w:pStyle w:val="Normal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alkatrészeinek gyártásához felhasznált valamennyi anyag felhasználásra engedélyezett, és rendelkezik az akkreditált laboratóriumok által kiadott vizsgálati jegyzőkönyvekkel és szakvéleményekkel.</w:t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>
          <w:rFonts w:eastAsia="Arial" w:cs="Arial" w:ascii="Arial" w:hAnsi="Arial"/>
          <w:sz w:val="16"/>
          <w:szCs w:val="16"/>
        </w:rPr>
        <w:t xml:space="preserve"> </w:t>
      </w:r>
    </w:p>
    <w:p>
      <w:pPr>
        <w:pStyle w:val="Normal"/>
        <w:numPr>
          <w:ilvl w:val="0"/>
          <w:numId w:val="5"/>
        </w:numPr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A CSOMAG TARTALMA</w:t>
      </w:r>
    </w:p>
    <w:p>
      <w:pPr>
        <w:pStyle w:val="Normal"/>
        <w:spacing w:lineRule="auto" w:line="360"/>
        <w:jc w:val="center"/>
        <w:rPr/>
      </w:pPr>
      <w:r>
        <w:rPr>
          <w:rFonts w:cs="Arial" w:ascii="Verdana" w:hAnsi="Verdana"/>
          <w:i/>
          <w:sz w:val="16"/>
          <w:szCs w:val="18"/>
          <w:lang w:val="en-US"/>
        </w:rPr>
        <w:t xml:space="preserve">Táblázat</w:t>
      </w:r>
      <w:r>
        <w:rPr>
          <w:rFonts w:cs="Arial" w:ascii="Verdana" w:hAnsi="Verdana"/>
          <w:i/>
          <w:sz w:val="16"/>
          <w:szCs w:val="18"/>
        </w:rPr>
        <w:t xml:space="preserve"> </w:t>
      </w:r>
      <w:r>
        <w:rPr/>
        <w:t>2</w:t>
      </w:r>
    </w:p>
    <w:tbl>
      <w:tblPr>
        <w:tblW w:w="771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4"/>
        <w:gridCol w:w="1250"/>
        <w:gridCol w:w="1437"/>
        <w:gridCol w:w="431"/>
        <w:gridCol w:w="239"/>
        <w:gridCol w:w="422"/>
        <w:gridCol w:w="1420"/>
        <w:gridCol w:w="1497"/>
        <w:gridCol w:w="485"/>
      </w:tblGrid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ábra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Db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i/>
                <w:i/>
                <w:sz w:val="14"/>
                <w:szCs w:val="16"/>
              </w:rPr>
            </w:pPr>
            <w:r>
              <w:rPr>
                <w:rFonts w:cs="Arial" w:ascii="Verdana" w:hAnsi="Verdana"/>
                <w:i/>
                <w:sz w:val="14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Megnevezés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ábra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i/>
                <w:i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Db</w:t>
            </w:r>
          </w:p>
        </w:tc>
      </w:tr>
      <w:tr>
        <w:trPr>
          <w:trHeight w:val="340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Konzol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10.05.08.01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46366" cy="480688"/>
                  <wp:effectExtent l="0" t="0" r="0" b="0"/>
                  <wp:docPr id="4" name="Image4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8" t="-24" r="-18" b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366" cy="480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Összekötő elem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747407" cy="531952"/>
                  <wp:effectExtent l="0" t="0" r="0" b="0"/>
                  <wp:docPr id="5" name="Image5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7407" cy="531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27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Összekötő elem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10.05.08.02-01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(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  </w:t>
            </w:r>
            <w:r>
              <w:rPr>
                <w:rFonts w:cs="Arial" w:ascii="Verdana" w:hAnsi="Verdana"/>
                <w:sz w:val="16"/>
                <w:szCs w:val="16"/>
              </w:rPr>
              <w:t>2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 furattal</w:t>
            </w:r>
            <w:r>
              <w:rPr>
                <w:rFonts w:cs="Arial" w:ascii="Verdana" w:hAnsi="Verdana"/>
                <w:sz w:val="16"/>
                <w:szCs w:val="16"/>
              </w:rPr>
              <w:t>)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654538" cy="465829"/>
                  <wp:effectExtent l="0" t="0" r="0" b="0"/>
                  <wp:docPr id="6" name="Image6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26" t="-37" r="-26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538" cy="46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Lemez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10.05.08.001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219710" cy="289560"/>
                  <wp:effectExtent l="0" t="0" r="0" b="0"/>
                  <wp:docPr id="7" name="Image7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36" t="-28" r="-36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89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5</w:t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Háttámla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05.092.00 В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257810" cy="462915"/>
                  <wp:effectExtent l="0" t="0" r="0" b="0"/>
                  <wp:docPr id="8" name="Image8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21" t="-12" r="-21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" cy="46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6</w:t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Alkartámasz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ISO</w:t>
            </w:r>
            <w:r>
              <w:rPr>
                <w:rFonts w:cs="Arial" w:ascii="Verdana" w:hAnsi="Verdana"/>
                <w:sz w:val="16"/>
                <w:szCs w:val="16"/>
              </w:rPr>
              <w:t>-05.847</w:t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78758" cy="396735"/>
                  <wp:effectExtent l="0" t="0" r="0" b="0"/>
                  <wp:docPr id="9" name="Image9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20" t="-29" r="-20" b="-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758" cy="396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2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Villáskulcs 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13х17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DSKM</w:t>
            </w:r>
            <w:r>
              <w:rPr>
                <w:rFonts w:cs="Arial" w:ascii="Verdana" w:hAnsi="Verdana"/>
                <w:sz w:val="16"/>
                <w:szCs w:val="16"/>
              </w:rPr>
              <w:t xml:space="preserve"> 02.111.00</w:t>
            </w:r>
          </w:p>
        </w:tc>
        <w:tc>
          <w:tcPr>
            <w:tcW w:w="14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drawing>
                <wp:inline distT="0" distB="0" distL="0" distR="0">
                  <wp:extent cx="501491" cy="299408"/>
                  <wp:effectExtent l="0" t="0" r="0" b="0"/>
                  <wp:docPr id="10" name="Image10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" descr="" titl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 l="-21" t="-36" r="-21" b="-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491" cy="299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14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71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Szokásos szerszámok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Sz.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Megnevezés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Db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  <w:lang w:val="en-US"/>
              </w:rPr>
            </w:pPr>
            <w:r>
              <w:rPr>
                <w:rFonts w:cs="Arial" w:ascii="Verdana" w:hAnsi="Verdana"/>
                <w:sz w:val="14"/>
                <w:szCs w:val="16"/>
                <w:lang w:val="en-US"/>
              </w:rPr>
              <w:t xml:space="preserve">Sz.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4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Megnevezés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4"/>
                <w:szCs w:val="18"/>
              </w:rPr>
            </w:pPr>
            <w:r>
              <w:rPr>
                <w:rFonts w:cs="Arial" w:ascii="Verdana" w:hAnsi="Verdana"/>
                <w:sz w:val="14"/>
                <w:szCs w:val="18"/>
                <w:lang w:val="en-US"/>
              </w:rPr>
              <w:t xml:space="preserve">Db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М8-6gх35.56.016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17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М8-6gх55.56.016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7798-70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12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18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Csavar </w:t>
            </w:r>
            <w:r>
              <w:rPr>
                <w:rFonts w:cs="Arial" w:ascii="Verdana" w:hAnsi="Verdana"/>
                <w:sz w:val="16"/>
                <w:szCs w:val="16"/>
              </w:rPr>
              <w:t>А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2 </w:t>
            </w:r>
            <w:r>
              <w:rPr>
                <w:rFonts w:cs="Arial" w:ascii="Verdana" w:hAnsi="Verdana"/>
                <w:sz w:val="16"/>
                <w:szCs w:val="16"/>
              </w:rPr>
              <w:t>М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8-6g</w:t>
            </w:r>
            <w:r>
              <w:rPr>
                <w:rFonts w:cs="Arial" w:ascii="Verdana" w:hAnsi="Verdana"/>
                <w:sz w:val="16"/>
                <w:szCs w:val="16"/>
              </w:rPr>
              <w:t>х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16.56.016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 17473-80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20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Anya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М8-6H.6.016</w:t>
            </w:r>
          </w:p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5915-70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21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Anya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М8-6H.6.016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>GOST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11860-85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22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Alátét</w:t>
            </w:r>
            <w:r>
              <w:rPr>
                <w:rFonts w:cs="Arial" w:ascii="Verdana" w:hAnsi="Verdana"/>
                <w:sz w:val="16"/>
                <w:szCs w:val="16"/>
              </w:rPr>
              <w:t xml:space="preserve"> 8.А2 DIN 125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25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  <w:lang w:val="en-US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Takarósapka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К40/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B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26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Takarósapka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</w:t>
            </w:r>
            <w:r>
              <w:rPr>
                <w:rFonts w:cs="Arial" w:ascii="Verdana" w:hAnsi="Verdana"/>
                <w:sz w:val="16"/>
                <w:szCs w:val="16"/>
                <w:lang w:val="en-US"/>
              </w:rPr>
              <w:t>D</w:t>
            </w:r>
            <w:r>
              <w:rPr>
                <w:rFonts w:cs="Arial" w:ascii="Verdana" w:hAnsi="Verdana"/>
                <w:sz w:val="16"/>
                <w:szCs w:val="16"/>
              </w:rPr>
              <w:t>25/Т</w:t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4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  <w:t>28</w:t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>
                <w:rFonts w:cs="Arial" w:ascii="Verdana" w:hAnsi="Verdana"/>
                <w:sz w:val="16"/>
                <w:szCs w:val="16"/>
                <w:lang w:val="en-US"/>
              </w:rPr>
              <w:t xml:space="preserve">Díszsapka</w:t>
            </w:r>
            <w:r>
              <w:rPr>
                <w:rFonts w:cs="Arial" w:ascii="Verdana" w:hAnsi="Verdana"/>
                <w:sz w:val="16"/>
                <w:szCs w:val="16"/>
              </w:rPr>
              <w:t xml:space="preserve"> 13</w:t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  <w:t>20</w:t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68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  <w:tc>
          <w:tcPr>
            <w:tcW w:w="2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</w:rPr>
            </w:r>
          </w:p>
        </w:tc>
      </w:tr>
      <w:tr>
        <w:trPr>
          <w:trHeight w:val="283" w:hRule="atLeast"/>
        </w:trPr>
        <w:tc>
          <w:tcPr>
            <w:tcW w:w="7715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jc w:val="center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Dokumentáció</w:t>
            </w:r>
          </w:p>
        </w:tc>
      </w:tr>
      <w:tr>
        <w:trPr>
          <w:trHeight w:val="283" w:hRule="atLeast"/>
        </w:trPr>
        <w:tc>
          <w:tcPr>
            <w:tcW w:w="5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cs="Arial" w:ascii="Verdana" w:hAnsi="Verdana"/>
                <w:sz w:val="16"/>
                <w:szCs w:val="16"/>
              </w:rPr>
            </w:r>
          </w:p>
        </w:tc>
        <w:tc>
          <w:tcPr>
            <w:tcW w:w="7181" w:type="dxa"/>
            <w:gridSpan w:val="8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360"/>
              <w:rPr>
                <w:rFonts w:ascii="Verdana" w:hAnsi="Verdana" w:cs="Arial"/>
                <w:sz w:val="16"/>
                <w:szCs w:val="18"/>
              </w:rPr>
            </w:pPr>
            <w:r>
              <w:rPr>
                <w:rFonts w:cs="Arial" w:ascii="Verdana" w:hAnsi="Verdana"/>
                <w:sz w:val="16"/>
                <w:szCs w:val="18"/>
                <w:lang w:val="en-US"/>
              </w:rPr>
              <w:t xml:space="preserve">Adatlap</w:t>
            </w:r>
            <w:r>
              <w:rPr>
                <w:rFonts w:cs="Arial" w:ascii="Verdana" w:hAnsi="Verdana"/>
                <w:sz w:val="16"/>
                <w:szCs w:val="18"/>
              </w:rPr>
              <w:t xml:space="preserve"> 11.05.08 </w:t>
            </w:r>
            <w:r>
              <w:rPr>
                <w:rFonts w:cs="Arial" w:ascii="Verdana" w:hAnsi="Verdana"/>
                <w:sz w:val="16"/>
                <w:szCs w:val="18"/>
                <w:lang w:val="en-US"/>
              </w:rPr>
              <w:t>PS</w:t>
            </w:r>
          </w:p>
        </w:tc>
      </w:tr>
    </w:tbl>
    <w:p>
      <w:pPr>
        <w:pStyle w:val="Normal"/>
        <w:spacing w:lineRule="auto" w:line="360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tabs>
          <w:tab w:val="clear" w:pos="708"/>
          <w:tab w:val="left" w:pos="4550" w:leader="none"/>
        </w:tabs>
        <w:ind w:hanging="720" w:start="720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>5</w:t>
      </w:r>
      <w:r>
        <w:rPr>
          <w:rFonts w:cs="Arial" w:ascii="Verdana" w:hAnsi="Verdana"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SZÁLLÍTÁS ÉS TÁROLÁS</w:t>
      </w:r>
    </w:p>
    <w:p>
      <w:pPr>
        <w:pStyle w:val="Normal"/>
        <w:tabs>
          <w:tab w:val="clear" w:pos="708"/>
          <w:tab w:val="left" w:pos="4550" w:leader="none"/>
        </w:tabs>
        <w:ind w:hanging="568" w:start="426" w:end="0"/>
        <w:jc w:val="center"/>
        <w:rPr>
          <w:rFonts w:ascii="Verdana" w:hAnsi="Verdana" w:cs="Arial"/>
          <w:b/>
          <w:caps/>
          <w:sz w:val="18"/>
          <w:szCs w:val="18"/>
        </w:rPr>
      </w:pPr>
      <w:r>
        <w:rPr>
          <w:rFonts w:cs="Arial" w:ascii="Verdana" w:hAnsi="Verdana"/>
          <w:b/>
          <w:caps/>
          <w:sz w:val="18"/>
          <w:szCs w:val="18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5.1 A terméket a gyártó eredeti csomagolásában, a sértetlenségét biztosító bármilyen szállítóeszközzel kell szállítani.  </w:t>
      </w:r>
    </w:p>
    <w:p>
      <w:pPr>
        <w:pStyle w:val="Normal"/>
        <w:tabs>
          <w:tab w:val="clear" w:pos="708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5.2. A tárolási feltételek a GOST 15150-69 szerinti 2 (C) csoportnak felelnek meg. A munkahelyzetbe történő beszerelésig a terméket a gyártó eredeti csomagolásában, természetes szellőzésű száraz helyiségben kell tárolni.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6 ÁRTALMATLANÍTÁS</w:t>
      </w:r>
    </w:p>
    <w:p>
      <w:pPr>
        <w:pStyle w:val="Normal"/>
        <w:tabs>
          <w:tab w:val="clear" w:pos="708"/>
          <w:tab w:val="left" w:pos="4550" w:leader="none"/>
        </w:tabs>
        <w:ind w:start="567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6.1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A termék ártalmatlanításra küldése előtt szükséges: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terméket az összeszereléssel ellentétes sorrendben szétszerelni;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ind w:hanging="284" w:start="851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az alkatrészeket a gyártásukhoz felhasznált anyagok szerint szétválogatni.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6.2 A termék nem tartalmaz veszélyes anyagokat. A hulladék ártalmatlanítása a SanPiN 2.1.3684-21 követelményei szerint történik.</w:t>
      </w:r>
    </w:p>
    <w:p>
      <w:pPr>
        <w:pStyle w:val="Normal"/>
        <w:tabs>
          <w:tab w:val="clear" w:pos="708"/>
          <w:tab w:val="left" w:pos="851" w:leader="none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  <w:t xml:space="preserve">7 GARANCIA</w:t>
      </w:r>
    </w:p>
    <w:p>
      <w:pPr>
        <w:pStyle w:val="Normal"/>
        <w:tabs>
          <w:tab w:val="clear" w:pos="708"/>
          <w:tab w:val="left" w:pos="4550" w:leader="none"/>
        </w:tabs>
        <w:ind w:firstLine="141" w:start="426" w:end="0"/>
        <w:jc w:val="center"/>
        <w:rPr>
          <w:rFonts w:ascii="Verdana" w:hAnsi="Verdana" w:cs="Arial"/>
          <w:b/>
          <w:caps/>
          <w:sz w:val="18"/>
          <w:szCs w:val="18"/>
          <w:lang w:val="en-US"/>
        </w:rPr>
      </w:pPr>
      <w:r>
        <w:rPr>
          <w:rFonts w:cs="Arial" w:ascii="Verdana" w:hAnsi="Verdana"/>
          <w:b/>
          <w:caps/>
          <w:sz w:val="18"/>
          <w:szCs w:val="18"/>
          <w:lang w:val="en-US"/>
        </w:rPr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7.1 A termék garanciális ideje a vásárlás napjától számított 12 hónap. </w:t>
      </w:r>
    </w:p>
    <w:p>
      <w:pPr>
        <w:pStyle w:val="Normal"/>
        <w:tabs>
          <w:tab w:val="clear" w:pos="708"/>
          <w:tab w:val="left" w:pos="4550" w:leader="none"/>
        </w:tabs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7.2 A garancia nem terjed ki azokra a termékekre: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 a vevő általi szállítás során sérültek meg;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 a jelen adatlapban megadott tárolási, összeszerelési és üzemeltetési feltételek megsértése miatt sérültek meg; 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amelyeknél a jelen adatlapon hiányzik a csomagolásra, a minőségellenőrzési osztály átvételére és a termék értékesítésére vonatkozó bejegyzés</w:t>
      </w:r>
    </w:p>
    <w:p>
      <w:pPr>
        <w:pStyle w:val="Normal"/>
        <w:tabs>
          <w:tab w:val="clear" w:pos="708"/>
          <w:tab w:val="left" w:pos="1418" w:leader="none"/>
        </w:tabs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•</w:t>
      </w:r>
      <w:r>
        <w:rPr>
          <w:lang w:val="en-US"/>
        </w:rPr>
        <w:t xml:space="preserve"> </w:t>
      </w:r>
      <w:r>
        <w:rPr>
          <w:rFonts w:cs="Arial" w:ascii="Verdana" w:hAnsi="Verdana"/>
          <w:sz w:val="18"/>
          <w:szCs w:val="18"/>
          <w:lang w:val="en-US"/>
        </w:rPr>
        <w:t xml:space="preserve">a gyártó a termék megbízhatóságát azzal a feltétellel szavatolja, hogy a vevő betartja a szállítás, a tárolás, az összeszerelés és az üzemeltetés szabályait.</w:t>
        <w:tab/>
        <w:t xml:space="preserve"> 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4"/>
        </w:numPr>
        <w:spacing w:lineRule="auto" w:line="360"/>
        <w:ind w:hanging="284" w:start="426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SZERELÉSI ÚTMUTATÓ</w:t>
      </w:r>
    </w:p>
    <w:p>
      <w:pPr>
        <w:pStyle w:val="Normal"/>
        <w:spacing w:lineRule="auto" w:line="216"/>
        <w:ind w:hanging="283" w:start="567" w:end="0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8.1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Használati korlátozások.</w:t>
      </w:r>
    </w:p>
    <w:p>
      <w:pPr>
        <w:pStyle w:val="Normal"/>
        <w:spacing w:lineRule="auto" w:line="216"/>
        <w:ind w:firstLine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termékhez szabad hozzáférést kell biztosítani.</w:t>
      </w:r>
    </w:p>
    <w:p>
      <w:pPr>
        <w:pStyle w:val="Normal"/>
        <w:spacing w:lineRule="auto" w:line="216"/>
        <w:ind w:hanging="425" w:start="709" w:end="0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</w:rPr>
        <w:t>8.2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Előkészítés az összeszereléshez</w:t>
      </w:r>
    </w:p>
    <w:p>
      <w:pPr>
        <w:pStyle w:val="Normal"/>
        <w:spacing w:lineRule="auto" w:line="216"/>
        <w:ind w:start="284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Csomagolja ki a terméket, és helyezze az alkatrészeket az előre előkészített felületre. Ellenőrizze, hogy a szállítmány tartalma megfelel-e a termék adatlapjának.</w:t>
      </w:r>
    </w:p>
    <w:p>
      <w:pPr>
        <w:pStyle w:val="Normal"/>
        <w:spacing w:lineRule="auto" w:line="216"/>
        <w:ind w:hanging="283" w:start="567" w:end="0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8.3</w:t>
        <w:tab/>
      </w:r>
      <w:r>
        <w:rPr>
          <w:rFonts w:cs="Arial" w:ascii="Verdana" w:hAnsi="Verdana"/>
          <w:b/>
          <w:sz w:val="18"/>
          <w:szCs w:val="18"/>
          <w:lang w:val="en-US"/>
        </w:rPr>
        <w:t xml:space="preserve">Biztonsági intézkedések.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 xml:space="preserve">A termék összeszerelése közben gyermekek jelenléte és az összeszerelésben való részvételük tilos.</w:t>
      </w:r>
    </w:p>
    <w:p>
      <w:pPr>
        <w:pStyle w:val="Normal"/>
        <w:numPr>
          <w:ilvl w:val="0"/>
          <w:numId w:val="3"/>
        </w:numPr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terméket a szerelési útmutató szerint, lépésenként kell összeszerelni. </w:t>
      </w:r>
      <w:r>
        <w:br w:type="page"/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>8.4</w:t>
        <w:tab/>
        <w:t xml:space="preserve">Az összeszerelés és a telepítés sorrendje.</w:t>
      </w:r>
    </w:p>
    <w:p>
      <w:pPr>
        <w:pStyle w:val="Normal"/>
        <w:spacing w:lineRule="auto" w:line="216"/>
        <w:ind w:hanging="709" w:start="709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8.4.1</w:t>
        <w:tab/>
        <w:t xml:space="preserve">Szerelje össze a konzolokat az összekötő elemekkel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ab/>
        <w:t xml:space="preserve">1. Helyezze a takarósapkákat a konzolokra;</w:t>
      </w:r>
    </w:p>
    <w:p>
      <w:pPr>
        <w:pStyle w:val="Normal"/>
        <w:spacing w:lineRule="auto" w:line="216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ab/>
        <w:t xml:space="preserve">2. Szerelje össze a konzolokat (1. poz.) az összekötő elemekkel (2. és 3. poz.).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2830830" cy="2352040"/>
            <wp:effectExtent l="0" t="0" r="0" b="0"/>
            <wp:docPr id="11" name="Image1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5" t="-6" r="-5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830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Verdana"/>
          <w:sz w:val="18"/>
          <w:szCs w:val="18"/>
        </w:rPr>
      </w:pPr>
      <w:r>
        <w:rPr>
          <w:rFonts w:cs="Verdana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ábra</w:t>
      </w:r>
      <w:r>
        <w:rPr>
          <w:rFonts w:cs="Arial" w:ascii="Verdana" w:hAnsi="Verdana"/>
          <w:sz w:val="18"/>
          <w:szCs w:val="18"/>
        </w:rPr>
        <w:t>.1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8.4.2 Szerelje fel a háttámlát és az alkartámaszokat: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ab/>
        <w:t xml:space="preserve">1. Helyezze fel a lemezt (4. poz.)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ab/>
        <w:tab/>
        <w:t xml:space="preserve">2. Szerelje fel a háttámlát (5. poz.) és az alkartámaszokat (6. poz.)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  <w:drawing>
          <wp:inline distT="0" distB="0" distL="0" distR="0">
            <wp:extent cx="4622800" cy="2349500"/>
            <wp:effectExtent l="0" t="0" r="0" b="0"/>
            <wp:docPr id="12" name="Image1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-4" t="-9" r="-4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ábra</w:t>
      </w:r>
      <w:r>
        <w:rPr>
          <w:rFonts w:cs="Arial" w:ascii="Verdana" w:hAnsi="Verdana"/>
          <w:sz w:val="18"/>
          <w:szCs w:val="18"/>
        </w:rPr>
        <w:t>.2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187" w:leader="none"/>
        </w:tabs>
        <w:spacing w:lineRule="auto" w:line="216"/>
        <w:ind w:hanging="0" w:start="0"/>
        <w:jc w:val="center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  <w:r>
        <w:br w:type="page"/>
      </w:r>
    </w:p>
    <w:p>
      <w:pPr>
        <w:pStyle w:val="Normal"/>
        <w:ind w:start="862" w:end="0"/>
        <w:jc w:val="both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numPr>
          <w:ilvl w:val="0"/>
          <w:numId w:val="4"/>
        </w:numPr>
        <w:spacing w:lineRule="auto" w:line="360"/>
        <w:ind w:hanging="284" w:start="284" w:end="0"/>
        <w:jc w:val="center"/>
        <w:rPr>
          <w:rFonts w:ascii="Verdana" w:hAnsi="Verdana" w:cs="Arial"/>
          <w:b/>
          <w:sz w:val="18"/>
          <w:szCs w:val="18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BIZTONSÁGOS HASZNÁLATI ÚTMUTATÓ</w:t>
      </w:r>
    </w:p>
    <w:p>
      <w:pPr>
        <w:pStyle w:val="Normal"/>
        <w:spacing w:lineRule="auto" w:line="216"/>
        <w:ind w:hanging="142" w:start="426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9.1</w:t>
        <w:tab/>
        <w:t xml:space="preserve">A termék felnőttek és 14 éven felüli gyermekek számára készült.</w:t>
      </w:r>
    </w:p>
    <w:p>
      <w:pPr>
        <w:pStyle w:val="Normal"/>
        <w:spacing w:lineRule="auto" w:line="216"/>
        <w:ind w:hanging="283" w:start="567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9.2</w:t>
        <w:tab/>
        <w:t xml:space="preserve">A használó maximális testtömege 120 kg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numPr>
          <w:ilvl w:val="0"/>
          <w:numId w:val="4"/>
        </w:numPr>
        <w:ind w:hanging="0" w:start="0" w:end="0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ELLENŐRZÉSEK A HASZNÁLAT </w:t>
      </w:r>
    </w:p>
    <w:p>
      <w:pPr>
        <w:pStyle w:val="Normal"/>
        <w:jc w:val="center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  <w:t xml:space="preserve">ELŐTT </w:t>
      </w:r>
    </w:p>
    <w:p>
      <w:pPr>
        <w:pStyle w:val="Normal"/>
        <w:spacing w:lineRule="auto" w:line="216"/>
        <w:jc w:val="both"/>
        <w:rPr>
          <w:rFonts w:ascii="Verdana" w:hAnsi="Verdana" w:cs="Arial"/>
          <w:b/>
          <w:sz w:val="18"/>
          <w:szCs w:val="18"/>
          <w:lang w:val="en-US"/>
        </w:rPr>
      </w:pPr>
      <w:r>
        <w:rPr>
          <w:rFonts w:cs="Arial" w:ascii="Verdana" w:hAnsi="Verdana"/>
          <w:b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 termék használata előtt a következőket kell elvégezni: </w:t>
      </w:r>
    </w:p>
    <w:p>
      <w:pPr>
        <w:pStyle w:val="Normal"/>
        <w:spacing w:lineRule="auto" w:line="216"/>
        <w:ind w:firstLine="284" w:start="142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termék szemrevételezéses ellenőrzése;</w:t>
      </w:r>
    </w:p>
    <w:p>
      <w:pPr>
        <w:pStyle w:val="Normal"/>
        <w:spacing w:lineRule="auto" w:line="216"/>
        <w:ind w:firstLine="284" w:start="142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•</w:t>
        <w:tab/>
        <w:t xml:space="preserve">A szerkezet épségének ellenőrzése: győződjön meg arról, hogy a termék minden alkatrésze fel van szerelve.</w:t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spacing w:lineRule="auto" w:line="216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p>
      <w:pPr>
        <w:pStyle w:val="Normal"/>
        <w:numPr>
          <w:ilvl w:val="0"/>
          <w:numId w:val="4"/>
        </w:numPr>
        <w:spacing w:lineRule="auto" w:line="216"/>
        <w:ind w:hanging="0" w:start="284" w:end="0"/>
        <w:jc w:val="center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Arial" w:hAnsi="Arial"/>
          <w:b/>
          <w:caps/>
          <w:sz w:val="18"/>
          <w:szCs w:val="18"/>
          <w:lang w:val="en-US"/>
        </w:rPr>
        <w:t xml:space="preserve">ELLENŐRZÉSI ÉS KARBANTARTÁSI ÚTMUTATÓ </w:t>
      </w:r>
    </w:p>
    <w:p>
      <w:pPr>
        <w:pStyle w:val="Normal"/>
        <w:ind w:start="284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>11.1</w:t>
        <w:tab/>
        <w:t xml:space="preserve">A termék minden használata előtt végezzen szemrevételezéses ellenőrzést:</w:t>
      </w:r>
    </w:p>
    <w:p>
      <w:pPr>
        <w:pStyle w:val="Normal"/>
        <w:numPr>
          <w:ilvl w:val="0"/>
          <w:numId w:val="2"/>
        </w:numPr>
        <w:ind w:hanging="283" w:start="709" w:end="0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 a rögzítési pontokat. Ha meglazultak, húzza meg őket szokásos szerszámokkal. </w:t>
      </w:r>
    </w:p>
    <w:p>
      <w:pPr>
        <w:pStyle w:val="Normal"/>
        <w:numPr>
          <w:ilvl w:val="0"/>
          <w:numId w:val="2"/>
        </w:numPr>
        <w:ind w:hanging="283" w:start="709" w:end="0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Ellenőrizze, hogy a kötőelemeken fel vannak-e helyezve a műanyag védősapkák;</w:t>
      </w:r>
    </w:p>
    <w:p>
      <w:pPr>
        <w:pStyle w:val="Normal"/>
        <w:ind w:start="284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11.2</w:t>
        <w:tab/>
        <w:t xml:space="preserve">Havonta egyszer végezzen működési ellenőrzést. Győződjön meg arról, hogy a termék stabilan van felszerelve és a rögzítési pontok szilárdan rögzülnek. Ellenőrizze, hogy minden kötőelem és menetes kötés meg van-e húzva. </w:t>
      </w:r>
    </w:p>
    <w:p>
      <w:pPr>
        <w:pStyle w:val="Normal"/>
        <w:ind w:start="284" w:end="38"/>
        <w:jc w:val="both"/>
        <w:rPr/>
      </w:pPr>
      <w:r>
        <w:rPr>
          <w:rFonts w:cs="Arial" w:ascii="Verdana" w:hAnsi="Verdana"/>
          <w:sz w:val="18"/>
          <w:szCs w:val="18"/>
        </w:rPr>
        <w:t>11.3</w:t>
        <w:tab/>
      </w:r>
      <w:r>
        <w:rPr>
          <w:rFonts w:cs="Arial" w:ascii="Verdana" w:hAnsi="Verdana"/>
          <w:sz w:val="18"/>
          <w:szCs w:val="18"/>
          <w:lang w:val="en-US"/>
        </w:rPr>
        <w:t xml:space="preserve">Évente egyszer végezzen alapvető ellenőrzést.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Ellenőrizze a fém elemeket korrózió szempontjából;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Mérje fel az elvégzett javítás hatását a berendezés biztonságára.</w:t>
      </w:r>
    </w:p>
    <w:p>
      <w:pPr>
        <w:pStyle w:val="Normal"/>
        <w:ind w:firstLine="566" w:start="142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  <w:t>.</w:t>
      </w:r>
    </w:p>
    <w:p>
      <w:pPr>
        <w:pStyle w:val="Normal"/>
        <w:ind w:firstLine="187" w:end="38"/>
        <w:jc w:val="both"/>
        <w:rPr>
          <w:rFonts w:ascii="Verdana" w:hAnsi="Verdana" w:cs="Arial"/>
          <w:sz w:val="18"/>
          <w:szCs w:val="18"/>
          <w:lang w:val="en-US"/>
        </w:rPr>
      </w:pPr>
      <w:r>
        <w:rPr>
          <w:rFonts w:cs="Arial" w:ascii="Verdana" w:hAnsi="Verdana"/>
          <w:sz w:val="18"/>
          <w:szCs w:val="18"/>
          <w:lang w:val="en-US"/>
        </w:rPr>
      </w:r>
    </w:p>
    <w:p>
      <w:pPr>
        <w:pStyle w:val="Normal"/>
        <w:ind w:firstLine="45" w:start="142" w:end="38"/>
        <w:jc w:val="both"/>
        <w:rPr/>
      </w:pPr>
      <w:r>
        <w:rPr>
          <w:rFonts w:cs="Arial" w:ascii="Verdana" w:hAnsi="Verdana"/>
          <w:sz w:val="18"/>
          <w:szCs w:val="18"/>
          <w:lang w:val="en-US"/>
        </w:rPr>
        <w:t xml:space="preserve">A hibás alkatrészeket cserélje ki a gyártó által készített, azonos alkatrészekre. </w:t>
      </w:r>
    </w:p>
    <w:p>
      <w:pPr>
        <w:pStyle w:val="Normal"/>
        <w:ind w:firstLine="45" w:start="142" w:end="38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  <w:lang w:val="en-US"/>
        </w:rPr>
        <w:t xml:space="preserve">Az alkatrészek felhasználó általi gyártása és cseréje </w:t>
      </w:r>
      <w:r>
        <w:rPr>
          <w:rFonts w:cs="Arial" w:ascii="Verdana" w:hAnsi="Verdana"/>
          <w:b/>
          <w:sz w:val="18"/>
          <w:szCs w:val="18"/>
          <w:lang w:val="en-US"/>
        </w:rPr>
        <w:t xml:space="preserve">tilos</w:t>
      </w:r>
      <w:r>
        <w:rPr>
          <w:rFonts w:cs="Arial" w:ascii="Verdana" w:hAnsi="Verdana"/>
          <w:sz w:val="18"/>
          <w:szCs w:val="18"/>
          <w:lang w:val="en-US"/>
        </w:rPr>
        <w:t xml:space="preserve">. </w:t>
      </w:r>
    </w:p>
    <w:p>
      <w:pPr>
        <w:pStyle w:val="Normal"/>
        <w:jc w:val="both"/>
        <w:rPr>
          <w:rFonts w:ascii="Verdana" w:hAnsi="Verdana" w:cs="Arial"/>
          <w:sz w:val="18"/>
          <w:szCs w:val="18"/>
        </w:rPr>
      </w:pPr>
      <w:r>
        <w:rPr>
          <w:rFonts w:cs="Arial" w:ascii="Verdana" w:hAnsi="Verdana"/>
          <w:sz w:val="18"/>
          <w:szCs w:val="18"/>
        </w:rPr>
      </w:r>
    </w:p>
    <w:sectPr>
      <w:footerReference w:type="default" r:id="rId14"/>
      <w:footerReference w:type="first" r:id="rId15"/>
      <w:type w:val="nextPage"/>
      <w:pgSz w:orient="landscape" w:w="8419" w:h="11906"/>
      <w:pgMar w:left="567" w:right="567" w:gutter="0" w:header="0" w:top="284" w:footer="284" w:bottom="56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Tahoma">
    <w:charset w:val="cc" w:characterSet="windows-1251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Verdan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>
        <w:rFonts w:cs="Verdana" w:ascii="Verdana" w:hAnsi="Verdana"/>
        <w:sz w:val="16"/>
        <w:szCs w:val="16"/>
      </w:rPr>
      <w:t>10.18.2022</w:t>
    </w:r>
    <w:r>
      <mc:AlternateContent>
        <mc:Choice Requires="wps">
          <w:drawing>
            <wp:anchor behindDoc="0" distT="0" distB="0" distL="0" distR="0" simplePos="0" locked="0" layoutInCell="0" allowOverlap="1" relativeHeight="1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5405" cy="118110"/>
              <wp:effectExtent l="0" t="0" r="0" b="0"/>
              <wp:wrapSquare wrapText="bothSides"/>
              <wp:docPr id="1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405" cy="1181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  <w:rFonts w:ascii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PageNumber"/>
                              <w:rFonts w:cs="Verdana" w:ascii="Verdana" w:hAnsi="Verdana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t>6</w:t>
                          </w:r>
                          <w:r>
                            <w:rPr>
                              <w:rStyle w:val="PageNumber"/>
                              <w:sz w:val="16"/>
                              <w:szCs w:val="16"/>
                              <w:rFonts w:cs="Verdana" w:ascii="Verdana" w:hAnsi="Verdana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5.15pt;height:9.3pt;mso-wrap-distance-left:0pt;mso-wrap-distance-right:0pt;mso-wrap-distance-top:0pt;mso-wrap-distance-bottom:0pt;margin-top:0.05pt;mso-position-vertical-relative:text;margin-left:179.5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  <w:rFonts w:ascii="Verdana" w:hAnsi="Verdana" w:cs="Verdana"/>
                        <w:sz w:val="16"/>
                        <w:szCs w:val="16"/>
                      </w:rPr>
                    </w:pPr>
                    <w:r>
                      <w:rPr>
                        <w:rStyle w:val="PageNumber"/>
                        <w:rFonts w:cs="Verdana" w:ascii="Verdana" w:hAnsi="Verdana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t>6</w:t>
                    </w:r>
                    <w:r>
                      <w:rPr>
                        <w:rStyle w:val="PageNumber"/>
                        <w:sz w:val="16"/>
                        <w:szCs w:val="16"/>
                        <w:rFonts w:cs="Verdana" w:ascii="Verdana" w:hAnsi="Verdana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start"/>
      <w:pPr>
        <w:tabs>
          <w:tab w:val="num" w:pos="705"/>
        </w:tabs>
        <w:ind w:start="705" w:hanging="705"/>
      </w:pPr>
      <w:rPr/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/>
    </w:lvl>
    <w:lvl w:ilvl="2">
      <w:start w:val="1"/>
      <w:numFmt w:val="decimal"/>
      <w:lvlText w:val="%1.%2.%3"/>
      <w:lvlJc w:val="start"/>
      <w:pPr>
        <w:tabs>
          <w:tab w:val="num" w:pos="720"/>
        </w:tabs>
        <w:ind w:start="720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1287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8"/>
      <w:numFmt w:val="decimal"/>
      <w:lvlText w:val="%1"/>
      <w:lvlJc w:val="start"/>
      <w:pPr>
        <w:tabs>
          <w:tab w:val="num" w:pos="0"/>
        </w:tabs>
        <w:ind w:start="1425" w:hanging="360"/>
      </w:pPr>
      <w:rPr/>
    </w:lvl>
  </w:abstractNum>
  <w:abstractNum w:abstractNumId="5">
    <w:lvl w:ilvl="0">
      <w:start w:val="1"/>
      <w:numFmt w:val="decimal"/>
      <w:lvlText w:val="%1"/>
      <w:lvlJc w:val="start"/>
      <w:pPr>
        <w:tabs>
          <w:tab w:val="num" w:pos="705"/>
        </w:tabs>
        <w:ind w:start="705" w:hanging="705"/>
      </w:pPr>
      <w:rPr>
        <w:b/>
      </w:rPr>
    </w:lvl>
    <w:lvl w:ilvl="1">
      <w:start w:val="1"/>
      <w:numFmt w:val="decimal"/>
      <w:lvlText w:val="%1.%2"/>
      <w:lvlJc w:val="start"/>
      <w:pPr>
        <w:tabs>
          <w:tab w:val="num" w:pos="705"/>
        </w:tabs>
        <w:ind w:start="705" w:hanging="705"/>
      </w:pPr>
      <w:rPr>
        <w:b w:val="false"/>
      </w:rPr>
    </w:lvl>
    <w:lvl w:ilvl="2">
      <w:start w:val="1"/>
      <w:numFmt w:val="decimal"/>
      <w:lvlText w:val="%1.%2.%3"/>
      <w:lvlJc w:val="start"/>
      <w:pPr>
        <w:tabs>
          <w:tab w:val="num" w:pos="862"/>
        </w:tabs>
        <w:ind w:start="862" w:hanging="720"/>
      </w:pPr>
      <w:rPr>
        <w:sz w:val="18"/>
        <w:szCs w:val="18"/>
      </w:rPr>
    </w:lvl>
    <w:lvl w:ilvl="3">
      <w:start w:val="1"/>
      <w:numFmt w:val="decimal"/>
      <w:lvlText w:val="%1.%2.%3.%4"/>
      <w:lvlJc w:val="start"/>
      <w:pPr>
        <w:tabs>
          <w:tab w:val="num" w:pos="720"/>
        </w:tabs>
        <w:ind w:start="720" w:hanging="720"/>
      </w:pPr>
      <w:rPr/>
    </w:lvl>
    <w:lvl w:ilvl="4">
      <w:start w:val="1"/>
      <w:numFmt w:val="decimal"/>
      <w:lvlText w:val="%1.%2.%3.%4.%5"/>
      <w:lvlJc w:val="start"/>
      <w:pPr>
        <w:tabs>
          <w:tab w:val="num" w:pos="1080"/>
        </w:tabs>
        <w:ind w:start="1080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1080"/>
        </w:tabs>
        <w:ind w:start="1080" w:hanging="1080"/>
      </w:pPr>
      <w:rPr/>
    </w:lvl>
    <w:lvl w:ilvl="6">
      <w:start w:val="1"/>
      <w:numFmt w:val="decimal"/>
      <w:lvlText w:val="%1.%2.%3.%4.%5.%6.%7"/>
      <w:lvlJc w:val="start"/>
      <w:pPr>
        <w:tabs>
          <w:tab w:val="num" w:pos="1440"/>
        </w:tabs>
        <w:ind w:start="1440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1800"/>
        </w:tabs>
        <w:ind w:start="180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>
      <w:b/>
    </w:rPr>
  </w:style>
  <w:style w:type="character" w:styleId="WW8Num4z0">
    <w:name w:val="WW8Num4z0"/>
    <w:qFormat/>
    <w:rPr/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1z1">
    <w:name w:val="WW8Num11z1"/>
    <w:qFormat/>
    <w:rPr>
      <w:b w:val="false"/>
    </w:rPr>
  </w:style>
  <w:style w:type="character" w:styleId="WW8Num12z0">
    <w:name w:val="WW8Num12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b/>
    </w:rPr>
  </w:style>
  <w:style w:type="character" w:styleId="WW8Num15z1">
    <w:name w:val="WW8Num15z1"/>
    <w:qFormat/>
    <w:rPr>
      <w:b w:val="false"/>
    </w:rPr>
  </w:style>
  <w:style w:type="character" w:styleId="WW8Num15z2">
    <w:name w:val="WW8Num15z2"/>
    <w:qFormat/>
    <w:rPr>
      <w:sz w:val="18"/>
      <w:szCs w:val="18"/>
    </w:rPr>
  </w:style>
  <w:style w:type="character" w:styleId="WW8Num15z3">
    <w:name w:val="WW8Num15z3"/>
    <w:qFormat/>
    <w:rPr/>
  </w:style>
  <w:style w:type="character" w:styleId="WW8Num16z0">
    <w:name w:val="WW8Num16z0"/>
    <w:qFormat/>
    <w:rPr/>
  </w:style>
  <w:style w:type="character" w:styleId="WW8Num17z0">
    <w:name w:val="WW8Num17z0"/>
    <w:qFormat/>
    <w:rPr>
      <w:b/>
    </w:rPr>
  </w:style>
  <w:style w:type="character" w:styleId="WW8Num17z1">
    <w:name w:val="WW8Num17z1"/>
    <w:qFormat/>
    <w:rPr>
      <w:b w:val="false"/>
    </w:rPr>
  </w:style>
  <w:style w:type="character" w:styleId="WW8Num17z2">
    <w:name w:val="WW8Num17z2"/>
    <w:qFormat/>
    <w:rPr/>
  </w:style>
  <w:style w:type="character" w:styleId="WW8Num18z0">
    <w:name w:val="WW8Num18z0"/>
    <w:qFormat/>
    <w:rPr/>
  </w:style>
  <w:style w:type="character" w:styleId="WW8Num18z1">
    <w:name w:val="WW8Num18z1"/>
    <w:qFormat/>
    <w:rPr>
      <w:b w:val="false"/>
    </w:rPr>
  </w:style>
  <w:style w:type="character" w:styleId="WW8Num19z0">
    <w:name w:val="WW8Num19z0"/>
    <w:qFormat/>
    <w:rPr/>
  </w:style>
  <w:style w:type="character" w:styleId="WW8Num19z1">
    <w:name w:val="WW8Num19z1"/>
    <w:qFormat/>
    <w:rPr>
      <w:b w:val="false"/>
    </w:rPr>
  </w:style>
  <w:style w:type="character" w:styleId="WW8Num20z0">
    <w:name w:val="WW8Num20z0"/>
    <w:qFormat/>
    <w:rPr/>
  </w:style>
  <w:style w:type="character" w:styleId="WW8Num20z1">
    <w:name w:val="WW8Num20z1"/>
    <w:qFormat/>
    <w:rPr>
      <w:rFonts w:ascii="Courier New" w:hAnsi="Courier New" w:cs="Courier New"/>
    </w:rPr>
  </w:style>
  <w:style w:type="character" w:styleId="WW8Num20z2">
    <w:name w:val="WW8Num20z2"/>
    <w:qFormat/>
    <w:rPr>
      <w:rFonts w:ascii="Wingdings" w:hAnsi="Wingdings" w:cs="Wingdings"/>
    </w:rPr>
  </w:style>
  <w:style w:type="character" w:styleId="WW8Num20z3">
    <w:name w:val="WW8Num20z3"/>
    <w:qFormat/>
    <w:rPr>
      <w:rFonts w:ascii="Symbol" w:hAnsi="Symbol" w:cs="Symbol"/>
    </w:rPr>
  </w:style>
  <w:style w:type="character" w:styleId="WW8Num21z0">
    <w:name w:val="WW8Num21z0"/>
    <w:qFormat/>
    <w:rPr/>
  </w:style>
  <w:style w:type="character" w:styleId="WW8Num22z0">
    <w:name w:val="WW8Num22z0"/>
    <w:qFormat/>
    <w:rPr/>
  </w:style>
  <w:style w:type="character" w:styleId="Style14">
    <w:name w:val="Основной шрифт абзаца"/>
    <w:qFormat/>
    <w:rPr/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Style14"/>
    <w:rPr/>
  </w:style>
  <w:style w:type="character" w:styleId="Style15">
    <w:name w:val="Текст выноски Знак"/>
    <w:qFormat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png"/><Relationship Id="rId4" Type="http://schemas.openxmlformats.org/officeDocument/2006/relationships/image" Target="media/image3.wmf"/><Relationship Id="rId5" Type="http://schemas.openxmlformats.org/officeDocument/2006/relationships/image" Target="media/image4.wmf"/><Relationship Id="rId6" Type="http://schemas.openxmlformats.org/officeDocument/2006/relationships/image" Target="media/image5.wmf"/><Relationship Id="rId7" Type="http://schemas.openxmlformats.org/officeDocument/2006/relationships/image" Target="media/image6.wmf"/><Relationship Id="rId8" Type="http://schemas.openxmlformats.org/officeDocument/2006/relationships/image" Target="media/image7.wmf"/><Relationship Id="rId9" Type="http://schemas.openxmlformats.org/officeDocument/2006/relationships/image" Target="media/image8.wmf"/><Relationship Id="rId10" Type="http://schemas.openxmlformats.org/officeDocument/2006/relationships/image" Target="media/image9.wmf"/><Relationship Id="rId11" Type="http://schemas.openxmlformats.org/officeDocument/2006/relationships/image" Target="media/image10.wmf"/><Relationship Id="rId12" Type="http://schemas.openxmlformats.org/officeDocument/2006/relationships/image" Target="media/image11.wmf"/><Relationship Id="rId13" Type="http://schemas.openxmlformats.org/officeDocument/2006/relationships/image" Target="media/image12.wmf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numbering" Target="numbering.xm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2022-04-20T06:25:00Z</dcterms:created>
  <dc:creator>Elistratov</dc:creator>
  <dc:description/>
  <cp:keywords/>
  <dc:language>en-US</dc:language>
  <cp:lastModifiedBy>Емельяненко Ирина Глебовна</cp:lastModifiedBy>
  <cp:lastPrinted>2022-04-20T09:39:00Z</cp:lastPrinted>
  <dcterms:modified xsi:type="dcterms:W3CDTF">2025-11-21T18:46:00Z</dcterms:modified>
  <cp:revision>40</cp:revision>
  <dc:subject/>
  <dc:title>ЗАО «ЗАВОД ИГРОВОГО СПОРТИВНОГО ОБОРУДОВАНИЯ»</dc:title>
</cp:coreProperties>
</file>