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wmf" ContentType="image/x-wmf"/>
  <Override PartName="/word/media/image2.png" ContentType="image/png"/>
  <Override PartName="/word/media/image3.wmf" ContentType="image/x-wmf"/>
  <Override PartName="/word/media/image4.wmf" ContentType="image/x-wmf"/>
  <Override PartName="/word/media/image5.wmf" ContentType="image/x-wmf"/>
  <Override PartName="/word/media/image6.wmf" ContentType="image/x-wmf"/>
  <Override PartName="/word/media/image10.wmf" ContentType="image/x-wmf"/>
  <Override PartName="/word/media/image7.wmf" ContentType="image/x-wmf"/>
  <Override PartName="/word/media/image11.wmf" ContentType="image/x-wmf"/>
  <Override PartName="/word/media/image8.wmf" ContentType="image/x-wmf"/>
  <Override PartName="/word/media/image12.wmf" ContentType="image/x-wmf"/>
  <Override PartName="/word/media/image9.wmf" ContentType="image/x-wmf"/>
  <Override PartName="/word/media/image13.wmf" ContentType="image/x-wm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>DSK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Bordásfal</w:t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ADATLAP 11.05.07 PS</w:t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  <w:drawing>
          <wp:inline distT="0" distB="0" distL="0" distR="0">
            <wp:extent cx="739775" cy="2619375"/>
            <wp:effectExtent l="0" t="0" r="0" b="0"/>
            <wp:docPr id="1" name="Image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3" t="-9" r="-33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firstLine="284" w:end="0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  <w:r>
        <w:br w:type="page"/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tbl>
      <w:tblPr>
        <w:tblW w:w="7655" w:type="dxa"/>
        <w:jc w:val="start"/>
        <w:tblInd w:w="-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93"/>
        <w:gridCol w:w="6662"/>
      </w:tblGrid>
      <w:tr>
        <w:trPr>
          <w:trHeight w:val="1320" w:hRule="atLeast"/>
        </w:trPr>
        <w:tc>
          <w:tcPr>
            <w:tcW w:w="993" w:type="dxa"/>
            <w:tcBorders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560705" cy="542925"/>
                  <wp:effectExtent l="0" t="0" r="0" b="0"/>
                  <wp:docPr id="2" name="Image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37" t="-38" r="-37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/>
          </w:tcPr>
          <w:p>
            <w:pPr>
              <w:pStyle w:val="Normal"/>
              <w:ind w:start="-108" w:end="0"/>
              <w:jc w:val="both"/>
              <w:rPr/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Figyelmesen olvassa el az adatlapot, hogy megismerje a „Bordásfal” termék összeszerelésére, biztonságos használatára, karbantartására, szállítására és tárolására vonatkozó szabályokat. A továbbiakban: termék.</w:t>
            </w:r>
          </w:p>
          <w:p>
            <w:pPr>
              <w:pStyle w:val="Normal"/>
              <w:ind w:start="-108" w:end="0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Az összeszerelést, a szétszerelést és a telepítést csak az adatlap áttanulmányozása után végezze.</w:t>
            </w:r>
          </w:p>
          <w:p>
            <w:pPr>
              <w:pStyle w:val="Normal"/>
              <w:ind w:start="-108" w:end="0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Őrizze meg ezt az adatlapot a termék teljes használati ideje alatt.</w:t>
            </w:r>
          </w:p>
          <w:p>
            <w:pPr>
              <w:pStyle w:val="Normal"/>
              <w:ind w:start="-108" w:end="0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A gyártó fenntartja a jogot a termék kialakításának, összeállításának és műszaki jellemzőinek módosítására a termékfejlesztés során, az ilyen változásokról szóló külön értesítés nélkül.</w:t>
            </w:r>
          </w:p>
          <w:p>
            <w:pPr>
              <w:pStyle w:val="Normal"/>
              <w:ind w:start="-108" w:end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</w:r>
          </w:p>
        </w:tc>
      </w:tr>
    </w:tbl>
    <w:p>
      <w:pPr>
        <w:pStyle w:val="Normal"/>
        <w:spacing w:lineRule="auto" w:line="36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7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A TERMÉK RENDELTETÉSE</w:t>
      </w:r>
    </w:p>
    <w:p>
      <w:pPr>
        <w:pStyle w:val="Normal"/>
        <w:spacing w:lineRule="auto" w:line="216"/>
        <w:ind w:firstLine="284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A bordásfal gyakorlatok végzésére szolgál.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termék beltéri használatra készült.</w:t>
      </w:r>
    </w:p>
    <w:p>
      <w:pPr>
        <w:pStyle w:val="Normal"/>
        <w:spacing w:lineRule="auto" w:line="216"/>
        <w:ind w:firstLine="495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7"/>
        </w:numPr>
        <w:spacing w:lineRule="auto" w:line="216"/>
        <w:jc w:val="center"/>
        <w:rPr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MŰSZAKI ADATOK</w:t>
      </w:r>
    </w:p>
    <w:p>
      <w:pPr>
        <w:pStyle w:val="Normal"/>
        <w:spacing w:lineRule="auto" w:line="360"/>
        <w:ind w:start="705" w:end="0"/>
        <w:jc w:val="center"/>
        <w:rPr/>
      </w:pPr>
      <w:r>
        <w:rPr>
          <w:rFonts w:cs="Arial" w:ascii="Verdana" w:hAnsi="Verdana"/>
          <w:i/>
          <w:sz w:val="16"/>
          <w:szCs w:val="18"/>
          <w:lang w:val="en-US"/>
        </w:rPr>
        <w:t xml:space="preserve">Táblázat</w:t>
      </w:r>
      <w:r>
        <w:rPr/>
        <w:t xml:space="preserve"> 1</w:t>
      </w:r>
    </w:p>
    <w:tbl>
      <w:tblPr>
        <w:tblW w:w="626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012"/>
        <w:gridCol w:w="3007"/>
        <w:gridCol w:w="1245"/>
      </w:tblGrid>
      <w:tr>
        <w:trPr>
          <w:trHeight w:val="227" w:hRule="atLeast"/>
        </w:trPr>
        <w:tc>
          <w:tcPr>
            <w:tcW w:w="201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141" w:start="175" w:end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Befoglaló méretek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20"/>
                <w:lang w:val="en-US"/>
              </w:rPr>
              <w:t xml:space="preserve">Mélység</w:t>
            </w:r>
            <w:r>
              <w:rPr>
                <w:rFonts w:cs="Arial" w:ascii="Verdana" w:hAnsi="Verdana"/>
                <w:sz w:val="18"/>
                <w:szCs w:val="20"/>
              </w:rPr>
              <w:t xml:space="preserve">, </w:t>
            </w:r>
            <w:r>
              <w:rPr>
                <w:rFonts w:cs="Arial" w:ascii="Verdana" w:hAnsi="Verdana"/>
                <w:sz w:val="18"/>
                <w:szCs w:val="20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175" w:start="175" w:end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160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Szélesség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755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Magasság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2235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Az oszlopok közötti távolság, 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630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A keresztrúd átmérője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32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Bruttó tömeg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legfeljebb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28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A használó maximális testtömege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kg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120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-57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Élettartam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év</w:t>
            </w:r>
            <w:r>
              <w:rPr>
                <w:rFonts w:cs="Arial" w:ascii="Verdana" w:hAnsi="Verdana"/>
                <w:sz w:val="18"/>
                <w:szCs w:val="18"/>
              </w:rPr>
              <w:t xml:space="preserve"> (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legalább</w:t>
            </w:r>
            <w:r>
              <w:rPr>
                <w:rFonts w:cs="Arial" w:ascii="Verdana" w:hAnsi="Verdana"/>
                <w:sz w:val="18"/>
                <w:szCs w:val="18"/>
              </w:rPr>
              <w:t>)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5</w:t>
            </w:r>
          </w:p>
        </w:tc>
      </w:tr>
    </w:tbl>
    <w:p>
      <w:pPr>
        <w:pStyle w:val="Normal"/>
        <w:spacing w:lineRule="auto" w:line="216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  <w:drawing>
          <wp:inline distT="0" distB="0" distL="0" distR="0">
            <wp:extent cx="2025015" cy="2886075"/>
            <wp:effectExtent l="0" t="0" r="0" b="0"/>
            <wp:docPr id="3" name="Image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12" t="-9" r="-12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01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Normal"/>
        <w:numPr>
          <w:ilvl w:val="0"/>
          <w:numId w:val="7"/>
        </w:num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FELÉPÍTÉS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561" w:leader="none"/>
        </w:tabs>
        <w:ind w:hanging="0" w:start="0" w:end="0"/>
        <w:jc w:val="both"/>
        <w:rPr>
          <w:rFonts w:ascii="Arial" w:hAnsi="Arial" w:cs="Arial"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  <w:lang w:val="en-US"/>
        </w:rPr>
        <w:t xml:space="preserve">A termék felépítése</w:t>
      </w:r>
      <w:r>
        <w:rPr>
          <w:rFonts w:cs="Arial" w:ascii="Arial" w:hAnsi="Arial"/>
          <w:b/>
          <w:sz w:val="16"/>
          <w:szCs w:val="16"/>
        </w:rPr>
        <w:t>.</w:t>
      </w:r>
    </w:p>
    <w:p>
      <w:pPr>
        <w:pStyle w:val="Normal"/>
        <w:ind w:end="226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  <w:t xml:space="preserve">A termék fém oszlopokból álló, szétszerelhető keretszerkezet.</w:t>
      </w:r>
    </w:p>
    <w:p>
      <w:pPr>
        <w:pStyle w:val="Normal"/>
        <w:ind w:end="226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1"/>
          <w:numId w:val="1"/>
        </w:numPr>
        <w:jc w:val="both"/>
        <w:rPr>
          <w:rFonts w:ascii="Arial" w:hAnsi="Arial" w:cs="Arial"/>
          <w:b/>
          <w:sz w:val="16"/>
          <w:szCs w:val="16"/>
          <w:lang w:val="en-US"/>
        </w:rPr>
      </w:pPr>
      <w:r>
        <w:rPr>
          <w:rFonts w:cs="Arial" w:ascii="Arial" w:hAnsi="Arial"/>
          <w:b/>
          <w:sz w:val="16"/>
          <w:szCs w:val="16"/>
          <w:lang w:val="en-US"/>
        </w:rPr>
        <w:t xml:space="preserve">A felhasznált anyagokra vonatkozó információk  </w:t>
      </w:r>
    </w:p>
    <w:p>
      <w:pPr>
        <w:pStyle w:val="Normal"/>
        <w:jc w:val="both"/>
        <w:rPr/>
      </w:pPr>
      <w:r>
        <w:rPr>
          <w:rFonts w:cs="Arial" w:ascii="Arial" w:hAnsi="Arial"/>
          <w:sz w:val="16"/>
          <w:szCs w:val="16"/>
          <w:lang w:val="en-US"/>
        </w:rPr>
        <w:t xml:space="preserve">A termék alkatrészeinek gyártásához felhasznált valamennyi anyag felhasználásra engedélyezett, és rendelkezik az akkreditált laboratóriumok által kiadott vizsgálati jegyzőkönyvekkel és szakvéleményekkel.</w:t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0"/>
          <w:numId w:val="7"/>
        </w:num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A CSOMAG TARTALMA</w:t>
      </w:r>
    </w:p>
    <w:p>
      <w:pPr>
        <w:pStyle w:val="Normal"/>
        <w:spacing w:lineRule="auto" w:line="360"/>
        <w:jc w:val="center"/>
        <w:rPr>
          <w:rFonts w:ascii="Verdana" w:hAnsi="Verdana" w:cs="Arial"/>
          <w:i/>
          <w:i/>
          <w:sz w:val="16"/>
          <w:szCs w:val="18"/>
        </w:rPr>
      </w:pPr>
      <w:r>
        <w:rPr>
          <w:rFonts w:cs="Arial" w:ascii="Verdana" w:hAnsi="Verdana"/>
          <w:i/>
          <w:sz w:val="16"/>
          <w:szCs w:val="18"/>
          <w:lang w:val="en-US"/>
        </w:rPr>
        <w:t xml:space="preserve">Táblázat</w:t>
      </w:r>
      <w:r>
        <w:rPr>
          <w:rFonts w:cs="Arial" w:ascii="Verdana" w:hAnsi="Verdana"/>
          <w:i/>
          <w:sz w:val="16"/>
          <w:szCs w:val="18"/>
        </w:rPr>
        <w:t xml:space="preserve"> 2</w:t>
      </w:r>
    </w:p>
    <w:tbl>
      <w:tblPr>
        <w:tblW w:w="7797" w:type="dxa"/>
        <w:jc w:val="start"/>
        <w:tblInd w:w="-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20"/>
        <w:gridCol w:w="1290"/>
        <w:gridCol w:w="1333"/>
        <w:gridCol w:w="467"/>
        <w:gridCol w:w="239"/>
        <w:gridCol w:w="422"/>
        <w:gridCol w:w="1600"/>
        <w:gridCol w:w="1347"/>
        <w:gridCol w:w="679"/>
      </w:tblGrid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Sz.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Megnevezés</w:t>
            </w:r>
          </w:p>
        </w:tc>
        <w:tc>
          <w:tcPr>
            <w:tcW w:w="1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ábra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Db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i/>
                <w:i/>
                <w:sz w:val="14"/>
                <w:szCs w:val="16"/>
              </w:rPr>
            </w:pPr>
            <w:r>
              <w:rPr>
                <w:rFonts w:cs="Arial" w:ascii="Verdana" w:hAnsi="Verdana"/>
                <w:i/>
                <w:sz w:val="14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Sz.</w:t>
            </w:r>
          </w:p>
        </w:tc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Megnevezés</w:t>
            </w:r>
          </w:p>
        </w:tc>
        <w:tc>
          <w:tcPr>
            <w:tcW w:w="1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ábra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Db</w:t>
            </w:r>
          </w:p>
        </w:tc>
      </w:tr>
      <w:tr>
        <w:trPr>
          <w:trHeight w:val="340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Felső oszlop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10.05.07.001</w:t>
            </w:r>
          </w:p>
        </w:tc>
        <w:tc>
          <w:tcPr>
            <w:tcW w:w="1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6200" cy="1118870"/>
                  <wp:effectExtent l="0" t="0" r="0" b="0"/>
                  <wp:docPr id="4" name="Image4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45" t="-10" r="-145" b="-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11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Alsó oszlop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10.05.07.01</w:t>
            </w:r>
          </w:p>
        </w:tc>
        <w:tc>
          <w:tcPr>
            <w:tcW w:w="1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3025" cy="1037590"/>
                  <wp:effectExtent l="0" t="0" r="0" b="0"/>
                  <wp:docPr id="5" name="Image5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145" t="-10" r="-145" b="-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" cy="103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</w:tr>
      <w:tr>
        <w:trPr>
          <w:trHeight w:val="227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3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Fok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10.05.07.02</w:t>
            </w:r>
          </w:p>
        </w:tc>
        <w:tc>
          <w:tcPr>
            <w:tcW w:w="1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51446" cy="449484"/>
                  <wp:effectExtent l="0" t="0" r="0" b="0"/>
                  <wp:docPr id="6" name="Image6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19" t="-32" r="-19" b="-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446" cy="449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9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4</w:t>
            </w:r>
          </w:p>
        </w:tc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Fogantyú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ISO</w:t>
            </w:r>
            <w:r>
              <w:rPr>
                <w:rFonts w:cs="Arial" w:ascii="Verdana" w:hAnsi="Verdana"/>
                <w:sz w:val="16"/>
                <w:szCs w:val="16"/>
              </w:rPr>
              <w:t>-05.38</w:t>
            </w:r>
          </w:p>
        </w:tc>
        <w:tc>
          <w:tcPr>
            <w:tcW w:w="1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411067" cy="317328"/>
                  <wp:effectExtent l="0" t="0" r="0" b="0"/>
                  <wp:docPr id="7" name="Image7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21" t="-26" r="-21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067" cy="317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18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5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Tartókonzol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10.05.07.002</w:t>
            </w:r>
          </w:p>
        </w:tc>
        <w:tc>
          <w:tcPr>
            <w:tcW w:w="1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497890" cy="400310"/>
                  <wp:effectExtent l="0" t="0" r="0" b="0"/>
                  <wp:docPr id="8" name="Image8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-15" t="-19" r="-15" b="-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90" cy="40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6</w:t>
            </w:r>
          </w:p>
        </w:tc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Villáskulcs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13х17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DSKM</w:t>
            </w:r>
            <w:r>
              <w:rPr>
                <w:rFonts w:cs="Arial" w:ascii="Verdana" w:hAnsi="Verdana"/>
                <w:sz w:val="16"/>
                <w:szCs w:val="16"/>
              </w:rPr>
              <w:t xml:space="preserve"> 02.111.00</w:t>
            </w:r>
          </w:p>
        </w:tc>
        <w:tc>
          <w:tcPr>
            <w:tcW w:w="1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518636" cy="309645"/>
                  <wp:effectExtent l="0" t="0" r="0" b="0"/>
                  <wp:docPr id="9" name="Image9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-21" t="-36" r="-21" b="-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636" cy="309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83" w:hRule="atLeast"/>
        </w:trPr>
        <w:tc>
          <w:tcPr>
            <w:tcW w:w="7797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Szokásos szerszámok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Sz.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Megnevezés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8"/>
                <w:lang w:val="en-US"/>
              </w:rPr>
              <w:t xml:space="preserve">Db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Sz.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Megnevezés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8"/>
                <w:lang w:val="en-US"/>
              </w:rPr>
              <w:t xml:space="preserve">Db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15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Csavar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М8-6gх55.56.016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7798-70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16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Csavar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М8-6gх20.56.016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7798-70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8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17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Csavar </w:t>
            </w:r>
            <w:r>
              <w:rPr>
                <w:rFonts w:cs="Arial" w:ascii="Verdana" w:hAnsi="Verdana"/>
                <w:sz w:val="16"/>
                <w:szCs w:val="16"/>
              </w:rPr>
              <w:t>М10-6gх25.56.016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7798-70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18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20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Anya </w:t>
            </w:r>
            <w:r>
              <w:rPr>
                <w:rFonts w:cs="Arial" w:ascii="Verdana" w:hAnsi="Verdana"/>
                <w:sz w:val="16"/>
                <w:szCs w:val="16"/>
              </w:rPr>
              <w:t>М8-6H.6.016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5915-70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21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Alátét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10.А2 DIN 125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18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22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Alátét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8.А2 DIN 125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20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23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Rögzítőcsavar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 10х80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25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Takarósapka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P</w:t>
            </w:r>
            <w:r>
              <w:rPr>
                <w:rFonts w:cs="Arial" w:ascii="Verdana" w:hAnsi="Verdana"/>
                <w:sz w:val="16"/>
                <w:szCs w:val="16"/>
              </w:rPr>
              <w:t>40х60/3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B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4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  <w:lang w:val="en-US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26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Takarósapka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10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8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28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Díszsapka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13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26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29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Díszsapka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17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18</w:t>
            </w:r>
          </w:p>
        </w:tc>
      </w:tr>
      <w:tr>
        <w:trPr>
          <w:trHeight w:val="283" w:hRule="atLeast"/>
        </w:trPr>
        <w:tc>
          <w:tcPr>
            <w:tcW w:w="7797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Dokumentáció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737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Adatlap</w:t>
            </w:r>
            <w:r>
              <w:rPr>
                <w:rFonts w:cs="Arial" w:ascii="Verdana" w:hAnsi="Verdana"/>
                <w:sz w:val="16"/>
                <w:szCs w:val="18"/>
              </w:rPr>
              <w:t xml:space="preserve"> 11.05.07 </w:t>
            </w:r>
            <w:r>
              <w:rPr>
                <w:rFonts w:cs="Arial" w:ascii="Verdana" w:hAnsi="Verdana"/>
                <w:sz w:val="16"/>
                <w:szCs w:val="18"/>
                <w:lang w:val="en-US"/>
              </w:rPr>
              <w:t>PS</w:t>
            </w:r>
          </w:p>
        </w:tc>
      </w:tr>
    </w:tbl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  <w:r>
        <w:br w:type="page"/>
      </w:r>
    </w:p>
    <w:p>
      <w:pPr>
        <w:pStyle w:val="Normal"/>
        <w:tabs>
          <w:tab w:val="clear" w:pos="708"/>
          <w:tab w:val="left" w:pos="4550" w:leader="none"/>
        </w:tabs>
        <w:ind w:start="720" w:end="0"/>
        <w:jc w:val="center"/>
        <w:rPr>
          <w:rFonts w:ascii="Verdana" w:hAnsi="Verdana" w:cs="Arial"/>
          <w:b/>
          <w:caps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>5</w:t>
      </w:r>
      <w:r>
        <w:rPr>
          <w:rFonts w:cs="Arial" w:ascii="Verdana" w:hAnsi="Verdana"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SZÁLLÍTÁS ÉS TÁROLÁS</w:t>
      </w:r>
    </w:p>
    <w:p>
      <w:pPr>
        <w:pStyle w:val="Normal"/>
        <w:tabs>
          <w:tab w:val="clear" w:pos="708"/>
          <w:tab w:val="left" w:pos="4550" w:leader="none"/>
        </w:tabs>
        <w:ind w:hanging="568" w:start="426" w:end="0"/>
        <w:jc w:val="center"/>
        <w:rPr>
          <w:rFonts w:ascii="Verdana" w:hAnsi="Verdana" w:cs="Arial"/>
          <w:b/>
          <w:caps/>
          <w:sz w:val="18"/>
          <w:szCs w:val="18"/>
        </w:rPr>
      </w:pPr>
      <w:r>
        <w:rPr>
          <w:rFonts w:cs="Arial" w:ascii="Verdana" w:hAnsi="Verdana"/>
          <w:b/>
          <w:caps/>
          <w:sz w:val="18"/>
          <w:szCs w:val="18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5.1 A terméket a gyártó eredeti csomagolásában, a sértetlenségét biztosító bármilyen szállítóeszközzel kell szállítani.  </w:t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5.2. A tárolási feltételek a GOST 15150-69 szerinti 2 (C) csoportnak felelnek meg. A munkahelyzetbe történő beszerelésig a terméket a gyártó eredeti csomagolásában, természetes szellőzésű száraz helyiségben kell tárolni.</w:t>
      </w:r>
    </w:p>
    <w:p>
      <w:pPr>
        <w:pStyle w:val="Normal"/>
        <w:tabs>
          <w:tab w:val="clear" w:pos="708"/>
          <w:tab w:val="left" w:pos="4550" w:leader="none"/>
        </w:tabs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6 ÁRTALMATLANÍTÁS</w:t>
      </w:r>
    </w:p>
    <w:p>
      <w:pPr>
        <w:pStyle w:val="Normal"/>
        <w:tabs>
          <w:tab w:val="clear" w:pos="708"/>
          <w:tab w:val="left" w:pos="4550" w:leader="none"/>
        </w:tabs>
        <w:ind w:start="567" w:end="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6.1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A termék ártalmatlanításra küldése előtt szükséges: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 terméket az összeszereléssel ellentétes sorrendben szétszerelni;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az alkatrészeket a gyártásukhoz felhasznált anyagok szerint szétválogatni.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6.2 A termék nem tartalmaz veszélyes anyagokat. A hulladék ártalmatlanítása a SanPiN 2.1.3684-21 követelményei szerint történik.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ind w:start="360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7 GARANCIA</w:t>
      </w:r>
    </w:p>
    <w:p>
      <w:pPr>
        <w:pStyle w:val="Normal"/>
        <w:tabs>
          <w:tab w:val="clear" w:pos="708"/>
          <w:tab w:val="left" w:pos="4550" w:leader="none"/>
        </w:tabs>
        <w:ind w:firstLine="141" w:start="426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7.1 A termék garanciális ideje a vásárlás napjától számított 12 hónap. </w:t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7.2 A garancia nem terjed ki azokra a termékekre: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amelyek a vevő általi szállítás során sérültek meg;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amelyek a jelen adatlapban megadott tárolási, összeszerelési és üzemeltetési feltételek megsértése miatt sérültek meg; 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amelyeknél a jelen adatlapon hiányzik a csomagolásra, a minőségellenőrzési osztály átvételére és a termék értékesítésére vonatkozó bejegyzés</w:t>
      </w:r>
    </w:p>
    <w:p>
      <w:pPr>
        <w:pStyle w:val="Normal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</w:r>
      <w:r>
        <w:rPr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a gyártó a termék megbízhatóságát azzal a feltétellel szavatolja, hogy a vevő betartja a szállítás, a tárolás, az összeszerelés és az üzemeltetés szabályait.</w:t>
      </w:r>
    </w:p>
    <w:p>
      <w:pPr>
        <w:pStyle w:val="Normal"/>
        <w:numPr>
          <w:ilvl w:val="0"/>
          <w:numId w:val="6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SZERELÉSI ÚTMUTATÓ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Használati korlátozások</w:t>
      </w:r>
      <w:r>
        <w:rPr>
          <w:rFonts w:cs="Arial" w:ascii="Verdana" w:hAnsi="Verdana"/>
          <w:b/>
          <w:sz w:val="18"/>
          <w:szCs w:val="18"/>
        </w:rPr>
        <w:t>.</w:t>
      </w:r>
    </w:p>
    <w:p>
      <w:pPr>
        <w:pStyle w:val="Normal"/>
        <w:spacing w:lineRule="auto" w:line="216"/>
        <w:ind w:firstLine="284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A termékhez szabad hozzáférést kell biztosítani.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Előkészítés az összeszereléshez</w:t>
      </w:r>
    </w:p>
    <w:p>
      <w:pPr>
        <w:pStyle w:val="Normal"/>
        <w:spacing w:lineRule="auto" w:line="216"/>
        <w:jc w:val="both"/>
        <w:rPr/>
      </w:pPr>
      <w:r>
        <w:rPr>
          <w:rFonts w:cs="Arial" w:ascii="Verdana" w:hAnsi="Verdana"/>
          <w:b/>
          <w:sz w:val="18"/>
          <w:szCs w:val="18"/>
          <w:lang w:val="en-US"/>
        </w:rPr>
        <w:tab/>
      </w:r>
      <w:r>
        <w:rPr>
          <w:rFonts w:cs="Arial" w:ascii="Verdana" w:hAnsi="Verdana"/>
          <w:sz w:val="18"/>
          <w:szCs w:val="18"/>
          <w:lang w:val="en-US"/>
        </w:rPr>
        <w:t xml:space="preserve">Csomagolja ki a terméket, és helyezze az alkatrészeket az előre előkészített felületre. Ellenőrizze, hogy a szállítmány tartalma megfelel-e a termék adatlapjának.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Biztonsági intézkedések</w:t>
      </w:r>
      <w:r>
        <w:rPr>
          <w:rFonts w:cs="Arial" w:ascii="Verdana" w:hAnsi="Verdana"/>
          <w:b/>
          <w:sz w:val="18"/>
          <w:szCs w:val="18"/>
        </w:rPr>
        <w:t>.</w:t>
      </w:r>
    </w:p>
    <w:p>
      <w:pPr>
        <w:pStyle w:val="Normal"/>
        <w:numPr>
          <w:ilvl w:val="0"/>
          <w:numId w:val="5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ab/>
        <w:t xml:space="preserve">A termék összeszerelése közben gyermekek jelenléte és az összeszerelésben való részvételük tilos.</w:t>
      </w:r>
    </w:p>
    <w:p>
      <w:pPr>
        <w:pStyle w:val="Normal"/>
        <w:numPr>
          <w:ilvl w:val="0"/>
          <w:numId w:val="5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terméket a szerelési útmutató szerint, lépésenként kell összeszerelni. </w:t>
      </w:r>
      <w:r>
        <w:br w:type="page"/>
      </w:r>
    </w:p>
    <w:p>
      <w:pPr>
        <w:pStyle w:val="Normal"/>
        <w:numPr>
          <w:ilvl w:val="1"/>
          <w:numId w:val="3"/>
        </w:numPr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Az összeszerelés és a telepítés sorrendje.</w:t>
      </w:r>
    </w:p>
    <w:p>
      <w:pPr>
        <w:pStyle w:val="Normal"/>
        <w:numPr>
          <w:ilvl w:val="2"/>
          <w:numId w:val="3"/>
        </w:numPr>
        <w:spacing w:lineRule="auto" w:line="216"/>
        <w:ind w:hanging="862" w:start="720" w:end="0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Helyezze a fogantyúkat (4. poz.) a fokra (3. poz.). Ajánlott a felületet előbb szappanos oldattal megnedvesíteni. 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1397635" cy="798195"/>
            <wp:effectExtent l="0" t="0" r="0" b="0"/>
            <wp:docPr id="10" name="Image1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" descr="" titl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16" t="-28" r="-16" b="-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16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spacing w:lineRule="auto" w:line="216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t xml:space="preserve">1. ábra</w:t>
      </w:r>
    </w:p>
    <w:p>
      <w:pPr>
        <w:pStyle w:val="Normal"/>
        <w:spacing w:lineRule="auto" w:line="216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2"/>
          <w:numId w:val="3"/>
        </w:numPr>
        <w:tabs>
          <w:tab w:val="clear" w:pos="708"/>
          <w:tab w:val="left" w:pos="862" w:leader="none"/>
        </w:tabs>
        <w:spacing w:lineRule="auto" w:line="216"/>
        <w:ind w:hanging="862" w:start="720" w:end="0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spacing w:lineRule="auto" w:line="216"/>
        <w:ind w:start="720" w:end="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tbl>
      <w:tblPr>
        <w:tblW w:w="750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750"/>
        <w:gridCol w:w="3751"/>
      </w:tblGrid>
      <w:tr>
        <w:trPr>
          <w:trHeight w:val="381" w:hRule="atLeast"/>
        </w:trPr>
        <w:tc>
          <w:tcPr>
            <w:tcW w:w="3750" w:type="dxa"/>
            <w:tcBorders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rPr/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Szerelje össze az oszlopokat</w:t>
            </w:r>
            <w:r>
              <w:rPr>
                <w:rFonts w:cs="Arial" w:ascii="Verdana" w:hAnsi="Verdana"/>
                <w:sz w:val="18"/>
                <w:szCs w:val="18"/>
              </w:rPr>
              <w:t>.</w:t>
            </w:r>
          </w:p>
        </w:tc>
        <w:tc>
          <w:tcPr>
            <w:tcW w:w="3751" w:type="dxa"/>
            <w:tcBorders>
              <w:star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Szerelje össze a bordásfalat</w:t>
            </w:r>
          </w:p>
        </w:tc>
      </w:tr>
      <w:tr>
        <w:trPr/>
        <w:tc>
          <w:tcPr>
            <w:tcW w:w="3750" w:type="dxa"/>
            <w:tcBorders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ind w:hanging="0" w:star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20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1594485</wp:posOffset>
                      </wp:positionV>
                      <wp:extent cx="267970" cy="826135"/>
                      <wp:effectExtent l="5080" t="0" r="13335" b="1905"/>
                      <wp:wrapNone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8200" cy="82656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  <a:tailEnd len="med" type="triangle" w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stroked="t" o:allowincell="t" style="position:absolute;margin-left:21.65pt;margin-top:125.55pt;width:21.05pt;height:65pt;flip:y" type="_x0000_t32">
                      <v:stroke color="black" weight="9360" endarrow="block" endarrowwidth="medium" endarrowlength="medium" joinstyle="miter" endcap="flat"/>
                      <v:fill o:detectmouseclick="t" on="false"/>
                      <w10:wrap type="none"/>
                    </v:shape>
                  </w:pict>
                </mc:Fallback>
              </mc:AlternateContent>
              <w:drawing>
                <wp:inline distT="0" distB="0" distL="0" distR="0">
                  <wp:extent cx="2227580" cy="2253615"/>
                  <wp:effectExtent l="0" t="0" r="0" b="0"/>
                  <wp:docPr id="12" name="Image1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-7" t="-7" r="-7" b="-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7580" cy="2253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rPr/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  <w:t xml:space="preserve">Az 1. oszlop a padlóhoz való ütögetéssel illeszthető a 2. oszlopba.</w:t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  <w:t xml:space="preserve">ábra</w:t>
            </w:r>
            <w:r>
              <w:rPr>
                <w:rFonts w:cs="Arial" w:ascii="Arial" w:hAnsi="Arial"/>
                <w:sz w:val="18"/>
                <w:szCs w:val="18"/>
              </w:rPr>
              <w:t>.2</w:t>
            </w:r>
          </w:p>
        </w:tc>
        <w:tc>
          <w:tcPr>
            <w:tcW w:w="3751" w:type="dxa"/>
            <w:tcBorders>
              <w:star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ind w:hanging="0" w:start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drawing>
                <wp:inline distT="0" distB="0" distL="0" distR="0">
                  <wp:extent cx="1910080" cy="2071370"/>
                  <wp:effectExtent l="0" t="0" r="0" b="0"/>
                  <wp:docPr id="13" name="Image12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2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-7" t="-7" r="-7" b="-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080" cy="207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jc w:val="center"/>
              <w:rPr/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ábra</w:t>
            </w:r>
            <w:r>
              <w:rPr>
                <w:rFonts w:cs="Arial" w:ascii="Verdana" w:hAnsi="Verdana"/>
                <w:sz w:val="18"/>
                <w:szCs w:val="18"/>
              </w:rPr>
              <w:t>.3</w:t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  <w:r>
        <w:br w:type="page"/>
      </w:r>
    </w:p>
    <w:p>
      <w:pPr>
        <w:pStyle w:val="Normal"/>
        <w:numPr>
          <w:ilvl w:val="2"/>
          <w:numId w:val="3"/>
        </w:numPr>
        <w:ind w:hanging="862" w:start="720" w:end="0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Helyezze a szerkezetet a falhoz</w:t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0"/>
          <w:numId w:val="4"/>
        </w:numPr>
        <w:spacing w:lineRule="auto" w:line="216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Szerelje a tartókonzolokat (5. poz.) a bordásfalra. Helyezze a szerkezetet a falhoz, és jelölje be a rögzítőcsavarok (23. poz.) furatait</w:t>
      </w:r>
    </w:p>
    <w:p>
      <w:pPr>
        <w:pStyle w:val="Normal"/>
        <w:numPr>
          <w:ilvl w:val="0"/>
          <w:numId w:val="4"/>
        </w:numPr>
        <w:spacing w:lineRule="auto" w:line="216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jelölések szerint fúrja ki a furatokat a falban. Csavarozza le a tartókonzolokat a szerkezetről. Rögzítse a tartókonzolokat a falhoz a rögzítőcsavarokkal. </w:t>
      </w:r>
    </w:p>
    <w:p>
      <w:pPr>
        <w:pStyle w:val="Normal"/>
        <w:numPr>
          <w:ilvl w:val="0"/>
          <w:numId w:val="4"/>
        </w:numPr>
        <w:spacing w:lineRule="auto" w:line="216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Rögzítse a szerkezetet a tartókonzolokhoz.</w:t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3853180" cy="2899410"/>
            <wp:effectExtent l="0" t="0" r="0" b="0"/>
            <wp:docPr id="14" name="Image1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3" descr="" titl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-4" t="-5" r="-4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180" cy="289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3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BIZTONSÁGOS HASZNÁLATI ÚTMUTATÓ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termék felnőttek és 14 éven felüli gyermekek számára készült.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használó maximális testtömege 120 kg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3"/>
        </w:numPr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HASZNÁLAT ELŐTTI ELLENŐRZÉSEK 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termék használata előtt a következőket kell elvégezni: 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 termék szemrevételezéses ellenőrzése;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 szerkezet épségének ellenőrzése: győződjön meg arról, hogy a termék minden alkatrésze fel van szerelve.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  <w:r>
        <w:br w:type="page"/>
      </w:r>
    </w:p>
    <w:p>
      <w:pPr>
        <w:pStyle w:val="Normal"/>
        <w:spacing w:lineRule="auto" w:line="216"/>
        <w:jc w:val="both"/>
        <w:rPr>
          <w:rFonts w:ascii="Verdana" w:hAnsi="Verdana" w:cs="Arial"/>
          <w:b/>
          <w:caps/>
          <w:sz w:val="18"/>
          <w:szCs w:val="18"/>
        </w:rPr>
      </w:pPr>
      <w:r>
        <w:rPr>
          <w:rFonts w:cs="Arial" w:ascii="Verdana" w:hAnsi="Verdana"/>
          <w:b/>
          <w:caps/>
          <w:sz w:val="18"/>
          <w:szCs w:val="18"/>
        </w:rPr>
      </w:r>
    </w:p>
    <w:p>
      <w:pPr>
        <w:pStyle w:val="Normal"/>
        <w:numPr>
          <w:ilvl w:val="0"/>
          <w:numId w:val="3"/>
        </w:numPr>
        <w:spacing w:lineRule="auto" w:line="216"/>
        <w:jc w:val="center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Arial" w:hAnsi="Arial"/>
          <w:b/>
          <w:caps/>
          <w:sz w:val="18"/>
          <w:szCs w:val="18"/>
          <w:lang w:val="en-US"/>
        </w:rPr>
        <w:t xml:space="preserve">ELLENŐRZÉSI ÉS KARBANTARTÁSI ÚTMUTATÓ</w:t>
      </w:r>
    </w:p>
    <w:p>
      <w:pPr>
        <w:pStyle w:val="Normal"/>
        <w:numPr>
          <w:ilvl w:val="1"/>
          <w:numId w:val="3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termék minden használata előtt végezzen szemrevételezéses ellenőrzést:</w:t>
      </w:r>
    </w:p>
    <w:p>
      <w:pPr>
        <w:pStyle w:val="Normal"/>
        <w:numPr>
          <w:ilvl w:val="0"/>
          <w:numId w:val="2"/>
        </w:numPr>
        <w:ind w:hanging="284" w:start="426" w:end="0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Ellenőrizze a rögzítési pontokat. Ha meglazultak, húzza meg őket szokásos szerszámokkal. </w:t>
      </w:r>
    </w:p>
    <w:p>
      <w:pPr>
        <w:pStyle w:val="Normal"/>
        <w:numPr>
          <w:ilvl w:val="0"/>
          <w:numId w:val="2"/>
        </w:numPr>
        <w:ind w:hanging="284" w:start="426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Ellenőrizze, hogy a kötőelemeken fel vannak-e helyezve a műanyag védősapkák;</w:t>
      </w:r>
    </w:p>
    <w:p>
      <w:pPr>
        <w:pStyle w:val="Normal"/>
        <w:numPr>
          <w:ilvl w:val="1"/>
          <w:numId w:val="3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Havonta egyszer végezzen működési ellenőrzést. Győződjön meg arról, hogy a termék stabilan van felszerelve és a rögzítési pontok szilárdan rögzülnek. Ellenőrizze, hogy minden kötőelem és menetes kötés meg van-e húzva. </w:t>
      </w:r>
    </w:p>
    <w:p>
      <w:pPr>
        <w:pStyle w:val="Normal"/>
        <w:numPr>
          <w:ilvl w:val="1"/>
          <w:numId w:val="3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Évente egyszer végezzen alapvető ellenőrzést.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Ellenőrizze a fém elemeket korrózió szempontjából;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Mérje fel az elvégzett javítás hatását a berendezés biztonságára.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ind w:start="720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A hibás alkatrészeket cserélje ki a gyártó által készített, azonos alkatrészekre. </w:t>
      </w:r>
    </w:p>
    <w:p>
      <w:pPr>
        <w:pStyle w:val="Normal"/>
        <w:ind w:start="720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Az alkatrészek felhasználó általi gyártása és cseréje 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tilos</w:t>
      </w:r>
      <w:r>
        <w:rPr>
          <w:rFonts w:cs="Arial" w:ascii="Verdana" w:hAnsi="Verdana"/>
          <w:sz w:val="18"/>
          <w:szCs w:val="18"/>
          <w:lang w:val="en-US"/>
        </w:rPr>
        <w:t xml:space="preserve">. 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sectPr>
      <w:footerReference w:type="default" r:id="rId15"/>
      <w:footerReference w:type="first" r:id="rId16"/>
      <w:type w:val="nextPage"/>
      <w:pgSz w:orient="landscape" w:w="8419" w:h="11906"/>
      <w:pgMar w:left="567" w:right="567" w:gutter="0" w:header="0" w:top="284" w:footer="284" w:bottom="56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Verdan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rFonts w:cs="Verdana" w:ascii="Verdana" w:hAnsi="Verdana"/>
        <w:sz w:val="16"/>
        <w:szCs w:val="16"/>
      </w:rPr>
      <w:t>09.09.2022</w:t>
    </w:r>
    <w:r>
      <mc:AlternateContent>
        <mc:Choice Requires="wps">
          <w:drawing>
            <wp:anchor behindDoc="0" distT="0" distB="0" distL="0" distR="0" simplePos="0" locked="0" layoutInCell="0" allowOverlap="1" relativeHeight="1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5405" cy="118110"/>
              <wp:effectExtent l="0" t="0" r="0" b="0"/>
              <wp:wrapSquare wrapText="bothSides"/>
              <wp:docPr id="15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" cy="1181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  <w:rFonts w:ascii="Verdana" w:hAnsi="Verdana" w:cs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PageNumber"/>
                              <w:rFonts w:cs="Verdana" w:ascii="Verdana" w:hAnsi="Verdana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t>7</w: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15pt;height:9.3pt;mso-wrap-distance-left:0pt;mso-wrap-distance-right:0pt;mso-wrap-distance-top:0pt;mso-wrap-distance-bottom:0pt;margin-top:0.05pt;mso-position-vertical-relative:text;margin-left:179.5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  <w:rFonts w:ascii="Verdana" w:hAnsi="Verdana" w:cs="Verdana"/>
                        <w:sz w:val="16"/>
                        <w:szCs w:val="16"/>
                      </w:rPr>
                    </w:pPr>
                    <w:r>
                      <w:rPr>
                        <w:rStyle w:val="PageNumber"/>
                        <w:rFonts w:cs="Verdana" w:ascii="Verdana" w:hAnsi="Verdana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separate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t>7</w: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"/>
      <w:lvlJc w:val="start"/>
      <w:pPr>
        <w:tabs>
          <w:tab w:val="num" w:pos="705"/>
        </w:tabs>
        <w:ind w:start="705" w:hanging="705"/>
      </w:pPr>
      <w:rPr/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/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1287" w:hanging="360"/>
      </w:pPr>
      <w:rPr>
        <w:rFonts w:ascii="Symbol" w:hAnsi="Symbol" w:cs="Symbol" w:hint="default"/>
      </w:rPr>
    </w:lvl>
  </w:abstractNum>
  <w:abstractNum w:abstractNumId="3">
    <w:lvl w:ilvl="0">
      <w:start w:val="8"/>
      <w:numFmt w:val="decimal"/>
      <w:lvlText w:val="%1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lvlText w:val="%1.%2"/>
      <w:lvlJc w:val="start"/>
      <w:pPr>
        <w:tabs>
          <w:tab w:val="num" w:pos="0"/>
        </w:tabs>
        <w:ind w:start="720" w:hanging="720"/>
      </w:pPr>
      <w:rPr/>
    </w:lvl>
    <w:lvl w:ilvl="2">
      <w:start w:val="1"/>
      <w:numFmt w:val="decimal"/>
      <w:lvlText w:val="%1.%2.%3"/>
      <w:lvlJc w:val="start"/>
      <w:pPr>
        <w:tabs>
          <w:tab w:val="num" w:pos="708"/>
        </w:tabs>
        <w:ind w:start="720" w:hanging="720"/>
      </w:pPr>
      <w:rPr/>
    </w:lvl>
    <w:lvl w:ilvl="3">
      <w:start w:val="1"/>
      <w:numFmt w:val="decimalZero"/>
      <w:lvlText w:val="%1.%2.%3.%4"/>
      <w:lvlJc w:val="start"/>
      <w:pPr>
        <w:tabs>
          <w:tab w:val="num" w:pos="0"/>
        </w:tabs>
        <w:ind w:start="1080" w:hanging="1080"/>
      </w:pPr>
      <w:rPr/>
    </w:lvl>
    <w:lvl w:ilvl="4">
      <w:start w:val="1"/>
      <w:numFmt w:val="decimal"/>
      <w:lvlText w:val="%1.%2.%3.%4.%5"/>
      <w:lvlJc w:val="start"/>
      <w:pPr>
        <w:tabs>
          <w:tab w:val="num" w:pos="0"/>
        </w:tabs>
        <w:ind w:start="1080" w:hanging="1080"/>
      </w:pPr>
      <w:rPr/>
    </w:lvl>
    <w:lvl w:ilvl="5">
      <w:start w:val="1"/>
      <w:numFmt w:val="decimalZero"/>
      <w:lvlText w:val="%1.%2.%3.%4.%5.%6"/>
      <w:lvlJc w:val="start"/>
      <w:pPr>
        <w:tabs>
          <w:tab w:val="num" w:pos="0"/>
        </w:tabs>
        <w:ind w:start="1440" w:hanging="1440"/>
      </w:pPr>
      <w:rPr/>
    </w:lvl>
    <w:lvl w:ilvl="6">
      <w:start w:val="1"/>
      <w:numFmt w:val="decimalZero"/>
      <w:lvlText w:val="%1.%2.%3.%4.%5.%6.%7"/>
      <w:lvlJc w:val="start"/>
      <w:pPr>
        <w:tabs>
          <w:tab w:val="num" w:pos="0"/>
        </w:tabs>
        <w:ind w:start="1800" w:hanging="180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0"/>
        </w:tabs>
        <w:ind w:start="1800" w:hanging="180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0"/>
        </w:tabs>
        <w:ind w:start="2160" w:hanging="21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644" w:hanging="360"/>
      </w:pPr>
      <w:rPr/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6">
    <w:lvl w:ilvl="0">
      <w:start w:val="8"/>
      <w:numFmt w:val="decimal"/>
      <w:lvlText w:val="%1"/>
      <w:lvlJc w:val="start"/>
      <w:pPr>
        <w:tabs>
          <w:tab w:val="num" w:pos="0"/>
        </w:tabs>
        <w:ind w:start="1425" w:hanging="360"/>
      </w:pPr>
      <w:rPr/>
    </w:lvl>
  </w:abstractNum>
  <w:abstractNum w:abstractNumId="7">
    <w:lvl w:ilvl="0">
      <w:start w:val="1"/>
      <w:numFmt w:val="decimal"/>
      <w:lvlText w:val="%1"/>
      <w:lvlJc w:val="start"/>
      <w:pPr>
        <w:tabs>
          <w:tab w:val="num" w:pos="705"/>
        </w:tabs>
        <w:ind w:start="705" w:hanging="705"/>
      </w:pPr>
      <w:rPr>
        <w:b/>
      </w:rPr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>
        <w:b w:val="false"/>
      </w:rPr>
    </w:lvl>
    <w:lvl w:ilvl="2">
      <w:start w:val="1"/>
      <w:numFmt w:val="decimal"/>
      <w:lvlText w:val="%1.%2.%3"/>
      <w:lvlJc w:val="start"/>
      <w:pPr>
        <w:tabs>
          <w:tab w:val="num" w:pos="862"/>
        </w:tabs>
        <w:ind w:start="862" w:hanging="720"/>
      </w:pPr>
      <w:rPr>
        <w:sz w:val="18"/>
        <w:szCs w:val="18"/>
      </w:rPr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>
      <w:b/>
    </w:rPr>
  </w:style>
  <w:style w:type="character" w:styleId="WW8Num4z0">
    <w:name w:val="WW8Num4z0"/>
    <w:qFormat/>
    <w:rPr/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/>
  </w:style>
  <w:style w:type="character" w:styleId="WW8Num11z1">
    <w:name w:val="WW8Num11z1"/>
    <w:qFormat/>
    <w:rPr>
      <w:b w:val="false"/>
    </w:rPr>
  </w:style>
  <w:style w:type="character" w:styleId="WW8Num12z0">
    <w:name w:val="WW8Num12z0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/>
  </w:style>
  <w:style w:type="character" w:styleId="WW8Num15z0">
    <w:name w:val="WW8Num15z0"/>
    <w:qFormat/>
    <w:rPr>
      <w:b/>
    </w:rPr>
  </w:style>
  <w:style w:type="character" w:styleId="WW8Num15z1">
    <w:name w:val="WW8Num15z1"/>
    <w:qFormat/>
    <w:rPr>
      <w:b w:val="false"/>
    </w:rPr>
  </w:style>
  <w:style w:type="character" w:styleId="WW8Num15z2">
    <w:name w:val="WW8Num15z2"/>
    <w:qFormat/>
    <w:rPr>
      <w:sz w:val="18"/>
      <w:szCs w:val="18"/>
    </w:rPr>
  </w:style>
  <w:style w:type="character" w:styleId="WW8Num15z3">
    <w:name w:val="WW8Num15z3"/>
    <w:qFormat/>
    <w:rPr/>
  </w:style>
  <w:style w:type="character" w:styleId="WW8Num16z0">
    <w:name w:val="WW8Num16z0"/>
    <w:qFormat/>
    <w:rPr>
      <w:b/>
    </w:rPr>
  </w:style>
  <w:style w:type="character" w:styleId="WW8Num16z1">
    <w:name w:val="WW8Num16z1"/>
    <w:qFormat/>
    <w:rPr>
      <w:b w:val="false"/>
    </w:rPr>
  </w:style>
  <w:style w:type="character" w:styleId="WW8Num16z2">
    <w:name w:val="WW8Num16z2"/>
    <w:qFormat/>
    <w:rPr/>
  </w:style>
  <w:style w:type="character" w:styleId="WW8Num17z0">
    <w:name w:val="WW8Num17z0"/>
    <w:qFormat/>
    <w:rPr/>
  </w:style>
  <w:style w:type="character" w:styleId="WW8Num17z1">
    <w:name w:val="WW8Num17z1"/>
    <w:qFormat/>
    <w:rPr>
      <w:b w:val="false"/>
    </w:rPr>
  </w:style>
  <w:style w:type="character" w:styleId="WW8Num18z0">
    <w:name w:val="WW8Num18z0"/>
    <w:qFormat/>
    <w:rPr/>
  </w:style>
  <w:style w:type="character" w:styleId="WW8Num18z1">
    <w:name w:val="WW8Num18z1"/>
    <w:qFormat/>
    <w:rPr>
      <w:b w:val="false"/>
    </w:rPr>
  </w:style>
  <w:style w:type="character" w:styleId="WW8Num19z0">
    <w:name w:val="WW8Num19z0"/>
    <w:qFormat/>
    <w:rPr/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19z3">
    <w:name w:val="WW8Num19z3"/>
    <w:qFormat/>
    <w:rPr>
      <w:rFonts w:ascii="Symbol" w:hAnsi="Symbol" w:cs="Symbol"/>
    </w:rPr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Style14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Style14"/>
    <w:rPr/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png"/><Relationship Id="rId4" Type="http://schemas.openxmlformats.org/officeDocument/2006/relationships/image" Target="media/image3.wmf"/><Relationship Id="rId5" Type="http://schemas.openxmlformats.org/officeDocument/2006/relationships/image" Target="media/image4.wmf"/><Relationship Id="rId6" Type="http://schemas.openxmlformats.org/officeDocument/2006/relationships/image" Target="media/image5.wmf"/><Relationship Id="rId7" Type="http://schemas.openxmlformats.org/officeDocument/2006/relationships/image" Target="media/image6.wmf"/><Relationship Id="rId8" Type="http://schemas.openxmlformats.org/officeDocument/2006/relationships/image" Target="media/image7.wmf"/><Relationship Id="rId9" Type="http://schemas.openxmlformats.org/officeDocument/2006/relationships/image" Target="media/image8.wmf"/><Relationship Id="rId10" Type="http://schemas.openxmlformats.org/officeDocument/2006/relationships/image" Target="media/image9.wmf"/><Relationship Id="rId11" Type="http://schemas.openxmlformats.org/officeDocument/2006/relationships/image" Target="media/image10.wmf"/><Relationship Id="rId12" Type="http://schemas.openxmlformats.org/officeDocument/2006/relationships/image" Target="media/image11.wmf"/><Relationship Id="rId13" Type="http://schemas.openxmlformats.org/officeDocument/2006/relationships/image" Target="media/image12.wmf"/><Relationship Id="rId14" Type="http://schemas.openxmlformats.org/officeDocument/2006/relationships/image" Target="media/image13.wmf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2022-04-20T06:25:00Z</dcterms:created>
  <dc:creator>Elistratov</dc:creator>
  <dc:description/>
  <cp:keywords/>
  <dc:language>en-US</dc:language>
  <cp:lastModifiedBy>Емельяненко Ирина Глебовна</cp:lastModifiedBy>
  <cp:lastPrinted>2022-04-20T09:39:00Z</cp:lastPrinted>
  <dcterms:modified xsi:type="dcterms:W3CDTF">2025-11-21T18:42:00Z</dcterms:modified>
  <cp:revision>39</cp:revision>
  <dc:subject/>
  <dc:title>ЗАО «ЗАВОД ИГРОВОГО СПОРТИВНОГО ОБОРУДОВАНИЯ»</dc:title>
</cp:coreProperties>
</file>