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3.wmf" ContentType="image/x-wmf"/>
  <Override PartName="/word/media/image4.wmf" ContentType="image/x-wmf"/>
  <Override PartName="/word/media/image9.wmf" ContentType="image/x-wmf"/>
  <Override PartName="/word/media/image2.png" ContentType="image/png"/>
  <Override PartName="/word/media/image14.wmf" ContentType="image/x-wmf"/>
  <Override PartName="/word/media/image5.wmf" ContentType="image/x-wmf"/>
  <Override PartName="/word/media/image15.wmf" ContentType="image/x-wmf"/>
  <Override PartName="/word/media/image6.wmf" ContentType="image/x-wmf"/>
  <Override PartName="/word/media/image1.wmf" ContentType="image/x-wmf"/>
  <Override PartName="/word/media/image10.wmf" ContentType="image/x-wmf"/>
  <Override PartName="/word/media/image16.wmf" ContentType="image/x-wmf"/>
  <Override PartName="/word/media/image7.wmf" ContentType="image/x-wmf"/>
  <Override PartName="/word/media/image11.wmf" ContentType="image/x-wmf"/>
  <Override PartName="/word/media/image8.wmf" ContentType="image/x-wmf"/>
  <Override PartName="/word/media/image12.wmf" ContentType="image/x-wmf"/>
  <Override PartName="/word/media/image3.wmf" ContentType="image/x-wm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>DSK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Húzódzkodó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ADATLAP 11.05.03 PS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3355975" cy="1955165"/>
            <wp:effectExtent l="0" t="0" r="0" b="0"/>
            <wp:docPr id="1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" t="-15" r="-9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75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firstLine="284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tbl>
      <w:tblPr>
        <w:tblW w:w="7655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93"/>
        <w:gridCol w:w="6662"/>
      </w:tblGrid>
      <w:tr>
        <w:trPr>
          <w:trHeight w:val="1320" w:hRule="atLeast"/>
        </w:trPr>
        <w:tc>
          <w:tcPr>
            <w:tcW w:w="993" w:type="dxa"/>
            <w:tcBorders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560705" cy="542925"/>
                  <wp:effectExtent l="0" t="0" r="0" b="0"/>
                  <wp:docPr id="2" name="Image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7" t="-38" r="-37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/>
          </w:tcPr>
          <w:p>
            <w:pPr>
              <w:pStyle w:val="Normal"/>
              <w:ind w:start="-108" w:end="0"/>
              <w:jc w:val="both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Figyelmesen olvassa el az adatlapot, hogy megismerje a „Húzódzkodó” termék összeszerelésére, biztonságos használatára, karbantartására, szállítására és tárolására vonatkozó szabályokat. A továbbiakban: termék.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Az összeszerelést, a szétszerelést és a telepítést csak az adatlap áttanulmányozása után végezze.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Őrizze meg ezt az adatlapot a termék teljes használati ideje alatt.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 gyártó fenntartja a jogot a termék kialakításának, összeállításának és műszaki jellemzőinek módosítására a termékfejlesztés során, az ilyen változásokról szóló külön értesítés nélkül.</w:t>
            </w:r>
          </w:p>
          <w:p>
            <w:pPr>
              <w:pStyle w:val="Normal"/>
              <w:ind w:start="-108" w:end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</w:r>
          </w:p>
        </w:tc>
      </w:tr>
    </w:tbl>
    <w:p>
      <w:pPr>
        <w:pStyle w:val="Normal"/>
        <w:spacing w:lineRule="auto" w:line="36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A TERMÉK RENDELTETÉSE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A húzódzkodó gyakorlatok végzésére szolgál.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beltéri használatra készült.</w:t>
      </w:r>
    </w:p>
    <w:p>
      <w:pPr>
        <w:pStyle w:val="Normal"/>
        <w:spacing w:lineRule="auto" w:line="216"/>
        <w:ind w:firstLine="495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216"/>
        <w:jc w:val="center"/>
        <w:rPr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MŰSZAKI ADATOK</w:t>
      </w:r>
    </w:p>
    <w:p>
      <w:pPr>
        <w:pStyle w:val="Normal"/>
        <w:spacing w:lineRule="auto" w:line="360"/>
        <w:ind w:firstLine="284" w:end="0"/>
        <w:jc w:val="center"/>
        <w:rPr>
          <w:rFonts w:ascii="Verdana" w:hAnsi="Verdana" w:cs="Arial"/>
          <w:i/>
          <w:i/>
          <w:sz w:val="16"/>
          <w:szCs w:val="18"/>
        </w:rPr>
      </w:pPr>
      <w:r>
        <w:rPr>
          <w:rFonts w:cs="Arial" w:ascii="Verdana" w:hAnsi="Verdana"/>
          <w:i/>
          <w:sz w:val="16"/>
          <w:szCs w:val="18"/>
          <w:lang w:val="en-US"/>
        </w:rPr>
        <w:t xml:space="preserve">Táblázat</w:t>
      </w:r>
      <w:r>
        <w:rPr>
          <w:rFonts w:cs="Arial" w:ascii="Verdana" w:hAnsi="Verdana"/>
          <w:i/>
          <w:sz w:val="16"/>
          <w:szCs w:val="18"/>
        </w:rPr>
        <w:t xml:space="preserve"> 1</w:t>
      </w:r>
    </w:p>
    <w:tbl>
      <w:tblPr>
        <w:tblW w:w="657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12"/>
        <w:gridCol w:w="3447"/>
        <w:gridCol w:w="1119"/>
      </w:tblGrid>
      <w:tr>
        <w:trPr>
          <w:trHeight w:val="227" w:hRule="atLeast"/>
        </w:trPr>
        <w:tc>
          <w:tcPr>
            <w:tcW w:w="201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41" w:start="175" w:end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Befoglaló méretek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3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20"/>
                <w:lang w:val="en-US"/>
              </w:rPr>
              <w:t xml:space="preserve">Mélység (a konzol hossza), 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75" w:start="175" w:end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792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Szélesség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 rúd hossza</w:t>
            </w:r>
            <w:r>
              <w:rPr>
                <w:rFonts w:cs="Arial" w:ascii="Verdana" w:hAnsi="Verdana"/>
                <w:sz w:val="18"/>
                <w:szCs w:val="18"/>
              </w:rPr>
              <w:t xml:space="preserve">),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1000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Magasság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341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 bordásfal és a rúd közötti távolság, 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719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 gumi-műanyag markolatú rúd átmérője, 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32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Bruttó tömeg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legfeljebb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13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 használó maximális testtömege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kg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120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-57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Élettartam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év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legalább</w:t>
            </w:r>
            <w:r>
              <w:rPr>
                <w:rFonts w:cs="Arial" w:ascii="Verdana" w:hAnsi="Verdana"/>
                <w:sz w:val="18"/>
                <w:szCs w:val="18"/>
              </w:rPr>
              <w:t>)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</w:t>
            </w:r>
          </w:p>
        </w:tc>
      </w:tr>
    </w:tbl>
    <w:p>
      <w:pPr>
        <w:pStyle w:val="Normal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drawing>
          <wp:inline distT="0" distB="0" distL="0" distR="0">
            <wp:extent cx="3413125" cy="2456180"/>
            <wp:effectExtent l="0" t="0" r="0" b="0"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7" t="-9" r="-7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FELÉPÍTÉS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561" w:leader="none"/>
        </w:tabs>
        <w:ind w:hanging="0" w:start="0" w:end="0"/>
        <w:jc w:val="both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A termék felépítése</w:t>
      </w:r>
      <w:r>
        <w:rPr>
          <w:rFonts w:cs="Arial" w:ascii="Arial" w:hAnsi="Arial"/>
          <w:b/>
          <w:sz w:val="16"/>
          <w:szCs w:val="16"/>
        </w:rPr>
        <w:t>.</w:t>
      </w:r>
    </w:p>
    <w:p>
      <w:pPr>
        <w:pStyle w:val="Normal"/>
        <w:ind w:end="226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  <w:t xml:space="preserve">A termék fém oszlopokból álló, szétszerelhető keretszerkezet.</w:t>
      </w:r>
    </w:p>
    <w:p>
      <w:pPr>
        <w:pStyle w:val="Normal"/>
        <w:ind w:end="226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b/>
          <w:sz w:val="16"/>
          <w:szCs w:val="16"/>
          <w:lang w:val="en-US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A felhasznált anyagokra vonatkozó információk  </w:t>
      </w:r>
    </w:p>
    <w:p>
      <w:pPr>
        <w:pStyle w:val="Normal"/>
        <w:jc w:val="both"/>
        <w:rPr/>
      </w:pPr>
      <w:r>
        <w:rPr>
          <w:rFonts w:cs="Arial" w:ascii="Arial" w:hAnsi="Arial"/>
          <w:sz w:val="16"/>
          <w:szCs w:val="16"/>
          <w:lang w:val="en-US"/>
        </w:rPr>
        <w:t xml:space="preserve">A termék alkatrészeinek gyártásához felhasznált valamennyi anyag felhasználásra engedélyezett, és rendelkezik az akkreditált laboratóriumok által kiadott vizsgálati jegyzőkönyvekkel és szakvéleményekkel.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A CSOMAG TARTALMA</w:t>
      </w:r>
    </w:p>
    <w:p>
      <w:pPr>
        <w:pStyle w:val="Normal"/>
        <w:spacing w:lineRule="auto" w:line="360"/>
        <w:jc w:val="center"/>
        <w:rPr>
          <w:rFonts w:ascii="Verdana" w:hAnsi="Verdana" w:cs="Arial"/>
          <w:i/>
          <w:i/>
          <w:sz w:val="16"/>
          <w:szCs w:val="18"/>
        </w:rPr>
      </w:pPr>
      <w:r>
        <w:rPr>
          <w:rFonts w:cs="Arial" w:ascii="Verdana" w:hAnsi="Verdana"/>
          <w:i/>
          <w:sz w:val="16"/>
          <w:szCs w:val="18"/>
          <w:lang w:val="en-US"/>
        </w:rPr>
        <w:t xml:space="preserve">Táblázat </w:t>
      </w:r>
      <w:r>
        <w:rPr>
          <w:rFonts w:cs="Arial" w:ascii="Verdana" w:hAnsi="Verdana"/>
          <w:i/>
          <w:sz w:val="16"/>
          <w:szCs w:val="18"/>
        </w:rPr>
        <w:t>2</w:t>
      </w:r>
    </w:p>
    <w:tbl>
      <w:tblPr>
        <w:tblW w:w="75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1220"/>
        <w:gridCol w:w="1437"/>
        <w:gridCol w:w="28"/>
        <w:gridCol w:w="433"/>
        <w:gridCol w:w="284"/>
        <w:gridCol w:w="425"/>
        <w:gridCol w:w="1490"/>
        <w:gridCol w:w="1303"/>
        <w:gridCol w:w="442"/>
      </w:tblGrid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Sz.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Megnevezés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ábra</w:t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Db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i/>
                <w:i/>
                <w:sz w:val="14"/>
                <w:szCs w:val="16"/>
              </w:rPr>
            </w:pPr>
            <w:r>
              <w:rPr>
                <w:rFonts w:cs="Arial" w:ascii="Verdana" w:hAnsi="Verdana"/>
                <w:i/>
                <w:sz w:val="14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Sz.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Megnevezés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ábra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Db</w:t>
            </w:r>
          </w:p>
        </w:tc>
      </w:tr>
      <w:tr>
        <w:trPr>
          <w:trHeight w:val="340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Bal oldali konzol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10.05.03.02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67715" cy="514959"/>
                  <wp:effectExtent l="0" t="0" r="0" b="0"/>
                  <wp:docPr id="4" name="Image4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7" t="-26" r="-17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514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Jobb oldali konzol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10.05.03.03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39368" cy="417322"/>
                  <wp:effectExtent l="0" t="0" r="0" b="0"/>
                  <wp:docPr id="5" name="Image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17" t="-26" r="-17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368" cy="417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27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Összekötő elem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10.05.08.02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92124" cy="563778"/>
                  <wp:effectExtent l="0" t="0" r="0" b="0"/>
                  <wp:docPr id="6" name="Image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26" t="-37" r="-26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124" cy="563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4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Rúd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10.05.03.04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65353" cy="395274"/>
                  <wp:effectExtent l="0" t="0" r="0" b="0"/>
                  <wp:docPr id="7" name="Image7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14" t="-23" r="-14" b="-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53" cy="395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Keresztrúd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10.05.03.003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(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4 furattal</w:t>
            </w:r>
            <w:r>
              <w:rPr>
                <w:rFonts w:cs="Arial" w:ascii="Verdana" w:hAnsi="Verdana"/>
                <w:sz w:val="16"/>
                <w:szCs w:val="16"/>
              </w:rPr>
              <w:t>)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00786" cy="427558"/>
                  <wp:effectExtent l="0" t="0" r="0" b="0"/>
                  <wp:docPr id="8" name="Image8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12" t="-19" r="-12" b="-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786" cy="42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Keresztrúd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10.05.03.003-01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(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2 furattal</w:t>
            </w:r>
            <w:r>
              <w:rPr>
                <w:rFonts w:cs="Arial" w:ascii="Verdana" w:hAnsi="Verdana"/>
                <w:sz w:val="16"/>
                <w:szCs w:val="16"/>
              </w:rPr>
              <w:t>)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37794" cy="322046"/>
                  <wp:effectExtent l="0" t="0" r="0" b="0"/>
                  <wp:docPr id="9" name="Image9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3" t="-38" r="-23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794" cy="322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Villáskulcs </w:t>
            </w:r>
            <w:r>
              <w:rPr>
                <w:rFonts w:cs="Arial" w:ascii="Verdana" w:hAnsi="Verdana"/>
                <w:sz w:val="16"/>
                <w:szCs w:val="16"/>
              </w:rPr>
              <w:t>13х17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DSKM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02.111.00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31495" cy="317322"/>
                  <wp:effectExtent l="0" t="0" r="0" b="0"/>
                  <wp:docPr id="10" name="Image10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21" t="-36" r="-21" b="-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317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Imbuszkulcs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 xml:space="preserve">S=6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mm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drawing>
                <wp:inline distT="0" distB="0" distL="0" distR="0">
                  <wp:extent cx="507873" cy="337007"/>
                  <wp:effectExtent l="0" t="0" r="0" b="0"/>
                  <wp:docPr id="11" name="Image1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10" t="-16" r="-10" b="-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873" cy="337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7596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Szokásos szerszámok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Sz.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Megnevezés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Db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Sz.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Megnevezés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Db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17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Csavar М8-6gх55.56.016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7798-70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18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Csavar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М8-6gх65.56.016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</w:rPr>
              <w:t>GOST 7798-70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19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Csavar М8-6gх90.56.016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7798-70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20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Csavar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М8-6gх60.56.016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</w:rPr>
              <w:t>GOST 11738-80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21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Anya М8-6H.6.016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5915-70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22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Alátét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8.А2 DIN 125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20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23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Szemesanya </w:t>
            </w:r>
            <w:r>
              <w:rPr>
                <w:rFonts w:cs="Arial" w:ascii="Verdana" w:hAnsi="Verdana"/>
                <w:sz w:val="16"/>
                <w:szCs w:val="16"/>
              </w:rPr>
              <w:t>М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8 DIN 582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26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Takarósapka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D</w:t>
            </w:r>
            <w:r>
              <w:rPr>
                <w:rFonts w:cs="Arial" w:ascii="Verdana" w:hAnsi="Verdana"/>
                <w:sz w:val="16"/>
                <w:szCs w:val="16"/>
              </w:rPr>
              <w:t>25/Т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25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Takarósapka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P</w:t>
            </w:r>
            <w:r>
              <w:rPr>
                <w:rFonts w:cs="Arial" w:ascii="Verdana" w:hAnsi="Verdana"/>
                <w:sz w:val="16"/>
                <w:szCs w:val="16"/>
              </w:rPr>
              <w:t>40х60/3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B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57" w:end="-57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73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57" w:end="-57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Calibri" w:ascii="Verdana" w:hAnsi="Verdana"/>
                <w:sz w:val="16"/>
                <w:szCs w:val="16"/>
                <w:lang w:val="en-US"/>
              </w:rPr>
              <w:t xml:space="preserve">Csavarzáras karabiner, horganyzott, M6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28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Díszsapka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7596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Dokumentáció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7062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Adatlap</w:t>
            </w:r>
            <w:r>
              <w:rPr>
                <w:rFonts w:cs="Arial" w:ascii="Verdana" w:hAnsi="Verdana"/>
                <w:sz w:val="16"/>
                <w:szCs w:val="18"/>
              </w:rPr>
              <w:t xml:space="preserve"> 11.05.03 </w:t>
            </w:r>
            <w:r>
              <w:rPr>
                <w:rFonts w:cs="Arial" w:ascii="Verdana" w:hAnsi="Verdana"/>
                <w:sz w:val="16"/>
                <w:szCs w:val="18"/>
                <w:lang w:val="en-US"/>
              </w:rPr>
              <w:t>PS</w:t>
            </w:r>
          </w:p>
        </w:tc>
      </w:tr>
    </w:tbl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tabs>
          <w:tab w:val="clear" w:pos="708"/>
          <w:tab w:val="left" w:pos="4550" w:leader="none"/>
        </w:tabs>
        <w:ind w:start="720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>5</w:t>
      </w:r>
      <w:r>
        <w:rPr>
          <w:rFonts w:cs="Arial" w:ascii="Verdana" w:hAnsi="Verdana"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SZÁLLÍTÁS ÉS TÁROLÁS</w:t>
      </w:r>
    </w:p>
    <w:p>
      <w:pPr>
        <w:pStyle w:val="Normal"/>
        <w:tabs>
          <w:tab w:val="clear" w:pos="708"/>
          <w:tab w:val="left" w:pos="4550" w:leader="none"/>
        </w:tabs>
        <w:ind w:hanging="568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5.1 A terméket a gyártó eredeti csomagolásában, a sértetlenségét biztosító bármilyen szállítóeszközzel kell szállítani.  </w:t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5.2. A tárolási feltételek a GOST 15150-69 szerinti 2 (C) csoportnak felelnek meg. A munkahelyzetbe történő beszerelésig a terméket a gyártó eredeti csomagolásában, természetes szellőzésű száraz helyiségben kell tárolni.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6 ÁRTALMATLANÍTÁS</w:t>
      </w:r>
    </w:p>
    <w:p>
      <w:pPr>
        <w:pStyle w:val="Normal"/>
        <w:tabs>
          <w:tab w:val="clear" w:pos="708"/>
          <w:tab w:val="left" w:pos="4550" w:leader="none"/>
        </w:tabs>
        <w:ind w:start="567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6.1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A termék ártalmatlanításra küldése előtt szükséges: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 terméket az összeszereléssel ellentétes sorrendben szétszerelni;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az alkatrészeket a gyártásukhoz felhasznált anyagok szerint szétválogatni.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6.2 A termék nem tartalmaz veszélyes anyagokat. A hulladék ártalmatlanítása a SanPiN 2.1.3684-21 követelményei szerint történik.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ind w:start="360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7 GARANCIA</w:t>
      </w:r>
    </w:p>
    <w:p>
      <w:pPr>
        <w:pStyle w:val="Normal"/>
        <w:tabs>
          <w:tab w:val="clear" w:pos="708"/>
          <w:tab w:val="left" w:pos="4550" w:leader="none"/>
        </w:tabs>
        <w:ind w:firstLine="141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7.1 A termék garanciális ideje a vásárlás napjától számított 12 hónap. 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7.2 A garancia nem terjed ki azokra a termékekre: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amelyek a vevő általi szállítás során sérültek meg;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amelyek a jelen adatlapban megadott tárolási, összeszerelési és üzemeltetési feltételek megsértése miatt sérültek meg; 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amelyeknél a jelen adatlapon hiányzik a csomagolásra, a minőségellenőrzési osztály átvételére és a termék értékesítésére vonatkozó bejegyzés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</w:r>
      <w:r>
        <w:rPr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a gyártó a termék megbízhatóságát azzal a feltétellel szavatolja, hogy a vevő betartja a szállítás, a tárolás, az összeszerelés és az üzemeltetés szabályait.</w:t>
        <w:tab/>
        <w:t xml:space="preserve"> 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6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SZERELÉSI ÚTMUTATÓ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Használati korlátozások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A termékhez szabad hozzáférést kell biztosítani.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Előkészítés az összeszereléshez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b/>
          <w:sz w:val="18"/>
          <w:szCs w:val="18"/>
          <w:lang w:val="en-US"/>
        </w:rPr>
        <w:tab/>
      </w:r>
      <w:r>
        <w:rPr>
          <w:rFonts w:cs="Arial" w:ascii="Verdana" w:hAnsi="Verdana"/>
          <w:sz w:val="18"/>
          <w:szCs w:val="18"/>
          <w:lang w:val="en-US"/>
        </w:rPr>
        <w:t xml:space="preserve">Csomagolja ki a terméket, és helyezze az alkatrészeket az előre előkészített felületre. Ellenőrizze, hogy a szállítmány tartalma megfelel-e a termék adatlapjának.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Biztonsági intézkedések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 xml:space="preserve">A termék összeszerelése közben gyermekek jelenléte és az összeszerelésben való részvételük tilos.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terméket a szerelési útmutató szerint, lépésenként kell összeszerelni. </w:t>
      </w:r>
      <w:r>
        <w:br w:type="page"/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Az összeszerelés és a telepítés sorrendje.</w:t>
      </w:r>
    </w:p>
    <w:p>
      <w:pPr>
        <w:pStyle w:val="Normal"/>
        <w:numPr>
          <w:ilvl w:val="2"/>
          <w:numId w:val="1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Szerelje össze a konzolokat és az összekötő elemet a keresztrudakkal (a csavarokat még ne húzza meg teljesen):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Helyezze a takarósapkákat a konzolokra;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Szerelje össze a konzolokat (1. poz.) és (2. poz.) az összekötő elemmel (3. poz.) és a keresztrudakkal (5. poz.) és (6. poz.)</w:t>
      </w:r>
    </w:p>
    <w:p>
      <w:pPr>
        <w:pStyle w:val="Normal"/>
        <w:spacing w:lineRule="auto" w:line="216"/>
        <w:ind w:start="720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4032250" cy="2275205"/>
            <wp:effectExtent l="0" t="0" r="0" b="0"/>
            <wp:docPr id="12" name="Image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4" t="-7" r="-4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0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ábra</w:t>
      </w:r>
      <w:r>
        <w:rPr>
          <w:rFonts w:cs="Arial" w:ascii="Verdana" w:hAnsi="Verdana"/>
          <w:sz w:val="18"/>
          <w:szCs w:val="18"/>
        </w:rPr>
        <w:t>.1</w:t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2"/>
          <w:numId w:val="1"/>
        </w:numPr>
        <w:tabs>
          <w:tab w:val="clear" w:pos="708"/>
          <w:tab w:val="left" w:pos="720" w:leader="none"/>
        </w:tabs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Szerelje fel a rudat (a csavart még ne húzza meg teljesen):</w:t>
      </w:r>
    </w:p>
    <w:p>
      <w:pPr>
        <w:pStyle w:val="Normal"/>
        <w:spacing w:lineRule="auto" w:line="216"/>
        <w:ind w:start="720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1. Helyezze a takarósapkákat a rúdra</w:t>
      </w:r>
    </w:p>
    <w:p>
      <w:pPr>
        <w:pStyle w:val="Normal"/>
        <w:spacing w:lineRule="auto" w:line="216"/>
        <w:ind w:start="720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2. Szerelje a rudat (4. poz.) a konzolokra.</w:t>
      </w:r>
    </w:p>
    <w:p>
      <w:pPr>
        <w:pStyle w:val="Normal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4538980" cy="2396490"/>
            <wp:effectExtent l="0" t="0" r="0" b="0"/>
            <wp:docPr id="13" name="Image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" descr="" titl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4" t="-7" r="-4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980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ábra</w:t>
      </w:r>
      <w:r>
        <w:rPr>
          <w:rFonts w:cs="Arial" w:ascii="Verdana" w:hAnsi="Verdana"/>
          <w:sz w:val="18"/>
          <w:szCs w:val="18"/>
        </w:rPr>
        <w:t>.2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2"/>
          <w:numId w:val="1"/>
        </w:numPr>
        <w:jc w:val="both"/>
        <w:rPr>
          <w:rFonts w:ascii="Arial" w:hAnsi="Arial" w:cs="Arial"/>
          <w:sz w:val="16"/>
          <w:szCs w:val="16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Húzza meg teljesen az összes csavart, és helyezze fel a díszsapkákat. 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  <w:r>
        <w:br w:type="page"/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2"/>
          <w:numId w:val="7"/>
        </w:numPr>
        <w:tabs>
          <w:tab w:val="clear" w:pos="708"/>
          <w:tab w:val="left" w:pos="0" w:leader="none"/>
        </w:tabs>
        <w:ind w:hanging="0" w:start="0" w:end="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color w:val="000000"/>
          <w:sz w:val="21"/>
          <w:szCs w:val="21"/>
          <w:lang w:val="en-US"/>
        </w:rPr>
        <w:t xml:space="preserve">Kiegészítő felszerelések is használhatók, például kötél, tornagyűrű, kötéllétra stb. </w:t>
      </w:r>
      <w:r>
        <w:rPr>
          <w:rFonts w:cs="Arial" w:ascii="Arial" w:hAnsi="Arial"/>
          <w:color w:val="000000"/>
          <w:sz w:val="21"/>
          <w:szCs w:val="21"/>
        </w:rPr>
        <w:t xml:space="preserve">Ehhez helyezze be a szemesanyákat (23. poz.), és szerelje fel a karabinereket (73. poz.).</w:t>
      </w:r>
    </w:p>
    <w:p>
      <w:pPr>
        <w:pStyle w:val="Normal"/>
        <w:numPr>
          <w:ilvl w:val="2"/>
          <w:numId w:val="7"/>
        </w:numPr>
        <w:tabs>
          <w:tab w:val="clear" w:pos="708"/>
          <w:tab w:val="left" w:pos="0" w:leader="none"/>
        </w:tabs>
        <w:ind w:hanging="0" w:start="0" w:end="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eastAsia="Calibri" w:cs="Calibri" w:ascii="Calibri" w:hAnsi="Calibri"/>
          <w:sz w:val="18"/>
          <w:szCs w:val="18"/>
          <w:lang w:val="en-US"/>
        </w:rPr>
        <w:t xml:space="preserve"> </w:t>
      </w:r>
      <w:r>
        <w:rPr>
          <w:rFonts w:cs="Calibri" w:ascii="Calibri" w:hAnsi="Calibri"/>
          <w:sz w:val="18"/>
          <w:szCs w:val="18"/>
          <w:lang w:val="en-US"/>
        </w:rPr>
        <w:t xml:space="preserve">Szerelje a karabinereket (73. poz.) a szemescsavarba (144. poz.).</w:t>
      </w:r>
    </w:p>
    <w:p>
      <w:pPr>
        <w:pStyle w:val="Normal"/>
        <w:ind w:hanging="748" w:start="748" w:end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drawing>
          <wp:inline distT="0" distB="0" distL="0" distR="0">
            <wp:extent cx="3435350" cy="2474595"/>
            <wp:effectExtent l="0" t="0" r="0" b="0"/>
            <wp:docPr id="14" name="Image1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4" descr="" titl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8" t="-11" r="-8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hanging="748" w:start="748" w:end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ind w:hanging="748" w:start="748" w:end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ind w:start="567" w:end="0"/>
        <w:rPr/>
      </w:pPr>
      <w:r>
        <w:rPr>
          <w:rFonts w:cs="Calibri" w:ascii="Calibri" w:hAnsi="Calibri"/>
          <w:b/>
          <w:sz w:val="18"/>
          <w:szCs w:val="18"/>
          <w:lang w:val="en-US"/>
        </w:rPr>
        <w:t xml:space="preserve">Figyelem!</w:t>
      </w:r>
      <w:r>
        <w:rPr>
          <w:rFonts w:cs="Calibri" w:ascii="Calibri" w:hAnsi="Calibri"/>
          <w:sz w:val="18"/>
          <w:szCs w:val="18"/>
          <w:lang w:val="en-US"/>
        </w:rPr>
        <w:t xml:space="preserve"> Ha a karabiner keresztmetszetének átmérője a kopás miatt 4 mm-re csökken, a karabinert ki kell cserélni</w:t>
      </w:r>
    </w:p>
    <w:p>
      <w:pPr>
        <w:pStyle w:val="Normal"/>
        <w:ind w:end="533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sz w:val="18"/>
          <w:szCs w:val="18"/>
          <w:lang w:val="en-US"/>
        </w:rPr>
      </w:r>
    </w:p>
    <w:p>
      <w:pPr>
        <w:pStyle w:val="Normal"/>
        <w:ind w:end="533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sz w:val="18"/>
          <w:szCs w:val="18"/>
          <w:lang w:val="en-US"/>
        </w:rPr>
      </w:r>
    </w:p>
    <w:tbl>
      <w:tblPr>
        <w:tblW w:w="605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059"/>
      </w:tblGrid>
      <w:tr>
        <w:trPr>
          <w:trHeight w:val="3817" w:hRule="atLeast"/>
        </w:trPr>
        <w:tc>
          <w:tcPr>
            <w:tcW w:w="6059" w:type="dxa"/>
            <w:tcBorders/>
            <w:vAlign w:val="center"/>
          </w:tcPr>
          <w:p>
            <w:pPr>
              <w:pStyle w:val="Normal"/>
              <w:ind w:end="533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cs="Calibri" w:ascii="Calibri" w:hAnsi="Calibri"/>
                <w:sz w:val="18"/>
                <w:szCs w:val="18"/>
                <w:lang w:val="en-US"/>
              </w:rPr>
              <w:t xml:space="preserve">A kötél felfüggesztése a karabinerre, 73. poz.</w:t>
            </w:r>
          </w:p>
          <w:p>
            <w:pPr>
              <w:pStyle w:val="Normal"/>
              <w:ind w:end="53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drawing>
                <wp:inline distT="0" distB="0" distL="0" distR="0">
                  <wp:extent cx="1762760" cy="2045335"/>
                  <wp:effectExtent l="0" t="0" r="0" b="0"/>
                  <wp:docPr id="15" name="Image1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-12" t="-10" r="-12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760" cy="204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139" w:hRule="atLeast"/>
        </w:trPr>
        <w:tc>
          <w:tcPr>
            <w:tcW w:w="6059" w:type="dxa"/>
            <w:tcBorders/>
            <w:vAlign w:val="center"/>
          </w:tcPr>
          <w:p>
            <w:pPr>
              <w:pStyle w:val="Normal"/>
              <w:ind w:end="4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color w:val="000000"/>
                <w:sz w:val="21"/>
                <w:szCs w:val="21"/>
                <w:lang w:val="en-US"/>
              </w:rPr>
              <w:t xml:space="preserve">Gyűrűk és kötéllétra felfüggesztése a karabinerekre, 73. poz.</w:t>
            </w:r>
          </w:p>
          <w:p>
            <w:pPr>
              <w:pStyle w:val="Normal"/>
              <w:ind w:end="53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drawing>
                <wp:inline distT="0" distB="0" distL="0" distR="0">
                  <wp:extent cx="3075305" cy="2183130"/>
                  <wp:effectExtent l="0" t="0" r="0" b="0"/>
                  <wp:docPr id="16" name="Image1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-9" t="-13" r="-9" b="-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5305" cy="218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end="53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1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BIZTONSÁGOS HASZNÁLATI ÚTMUTATÓ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felnőttek és 14 éven felüli gyermekek számára készült.</w:t>
      </w:r>
    </w:p>
    <w:p>
      <w:pPr>
        <w:pStyle w:val="Normal"/>
        <w:numPr>
          <w:ilvl w:val="1"/>
          <w:numId w:val="1"/>
        </w:numPr>
        <w:spacing w:lineRule="auto" w:line="216"/>
        <w:ind w:hanging="720" w:start="720" w:end="339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használó maximális testtömege 120 kg. </w:t>
      </w:r>
      <w:r>
        <w:rPr>
          <w:rFonts w:cs="Arial" w:ascii="Arial" w:hAnsi="Arial"/>
          <w:sz w:val="18"/>
          <w:szCs w:val="18"/>
        </w:rPr>
        <w:t xml:space="preserve">Függeszthető felszerelés esetén – legfeljebb 50 kg.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1"/>
        </w:numPr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HASZNÁLAT ELŐTTI ELLENŐRZÉSEK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használata előtt a következőket kell elvégezni: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 termék szemrevételezéses ellenőrzése;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 szerkezet épségének ellenőrzése: győződjön meg arról, hogy a termék minden alkatrésze fel van szerelve.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1"/>
        </w:numPr>
        <w:spacing w:lineRule="auto" w:line="216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Arial" w:hAnsi="Arial"/>
          <w:b/>
          <w:caps/>
          <w:sz w:val="18"/>
          <w:szCs w:val="18"/>
          <w:lang w:val="en-US"/>
        </w:rPr>
        <w:t xml:space="preserve">ELLENŐRZÉSI ÉS KARBANTARTÁSI ÚTMUTATÓ</w:t>
      </w:r>
    </w:p>
    <w:p>
      <w:pPr>
        <w:pStyle w:val="Normal"/>
        <w:numPr>
          <w:ilvl w:val="1"/>
          <w:numId w:val="1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minden használata előtt végezzen szemrevételezéses ellenőrzést:</w:t>
      </w:r>
    </w:p>
    <w:p>
      <w:pPr>
        <w:pStyle w:val="Normal"/>
        <w:numPr>
          <w:ilvl w:val="0"/>
          <w:numId w:val="4"/>
        </w:numPr>
        <w:ind w:hanging="284" w:start="426" w:end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Ellenőrizze a rögzítési pontokat. Ha meglazultak, húzza meg őket szokásos szerszámokkal. </w:t>
      </w:r>
    </w:p>
    <w:p>
      <w:pPr>
        <w:pStyle w:val="Normal"/>
        <w:numPr>
          <w:ilvl w:val="0"/>
          <w:numId w:val="4"/>
        </w:numPr>
        <w:ind w:hanging="284" w:start="426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Ellenőrizze, hogy a kötőelemeken fel vannak-e helyezve a műanyag védősapkák;</w:t>
      </w:r>
    </w:p>
    <w:p>
      <w:pPr>
        <w:pStyle w:val="Normal"/>
        <w:numPr>
          <w:ilvl w:val="1"/>
          <w:numId w:val="1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Havonta egyszer végezzen működési ellenőrzést. Győződjön meg arról, hogy a termék stabilan van felszerelve és a rögzítési pontok szilárdan rögzülnek. Ellenőrizze, hogy minden kötőelem és menetes kötés meg van-e húzva. </w:t>
      </w:r>
    </w:p>
    <w:p>
      <w:pPr>
        <w:pStyle w:val="Normal"/>
        <w:numPr>
          <w:ilvl w:val="1"/>
          <w:numId w:val="1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Évente egyszer végezzen alapvető ellenőrzést.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Ellenőrizze a fém elemeket korrózió szempontjából;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Mérje fel az elvégzett javítás hatását a berendezés biztonságára.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A hibás alkatrészeket cserélje ki a gyártó által készített, azonos alkatrészekre. </w:t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Az alkatrészek felhasználó általi gyártása és cseréje 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tilos</w:t>
      </w:r>
      <w:r>
        <w:rPr>
          <w:rFonts w:cs="Arial" w:ascii="Verdana" w:hAnsi="Verdana"/>
          <w:sz w:val="18"/>
          <w:szCs w:val="18"/>
          <w:lang w:val="en-US"/>
        </w:rPr>
        <w:t xml:space="preserve">. </w:t>
      </w:r>
    </w:p>
    <w:sectPr>
      <w:footerReference w:type="default" r:id="rId18"/>
      <w:footerReference w:type="first" r:id="rId19"/>
      <w:type w:val="nextPage"/>
      <w:pgSz w:orient="landscape" w:w="8419" w:h="11906"/>
      <w:pgMar w:left="567" w:right="567" w:gutter="0" w:header="0" w:top="284" w:footer="284" w:bottom="5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Verdan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cs="Verdana" w:ascii="Verdana" w:hAnsi="Verdana"/>
        <w:sz w:val="16"/>
        <w:szCs w:val="16"/>
      </w:rPr>
      <w:t>24.12.2024</w:t>
    </w:r>
    <w:r>
      <mc:AlternateContent>
        <mc:Choice Requires="wps">
          <w:drawing>
            <wp:anchor behindDoc="0" distT="0" distB="0" distL="0" distR="0" simplePos="0" locked="0" layoutInCell="0" allowOverlap="1" relativeHeight="2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5405" cy="118110"/>
              <wp:effectExtent l="0" t="0" r="0" b="0"/>
              <wp:wrapSquare wrapText="bothSides"/>
              <wp:docPr id="17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181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PageNumber"/>
                              <w:rFonts w:cs="Verdana"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t>7</w: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15pt;height:9.3pt;mso-wrap-distance-left:0pt;mso-wrap-distance-right:0pt;mso-wrap-distance-top:0pt;mso-wrap-distance-bottom:0pt;margin-top:0.05pt;mso-position-vertical-relative:text;margin-left:179.5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  <w:rFonts w:ascii="Verdana" w:hAnsi="Verdana" w:cs="Verdana"/>
                        <w:sz w:val="16"/>
                        <w:szCs w:val="16"/>
                      </w:rPr>
                    </w:pPr>
                    <w:r>
                      <w:rPr>
                        <w:rStyle w:val="PageNumber"/>
                        <w:rFonts w:cs="Verdana" w:ascii="Verdana" w:hAnsi="Verdana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t>7</w: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8"/>
      <w:numFmt w:val="decimal"/>
      <w:lvlText w:val="%1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"/>
      <w:lvlJc w:val="start"/>
      <w:pPr>
        <w:tabs>
          <w:tab w:val="num" w:pos="0"/>
        </w:tabs>
        <w:ind w:start="720" w:hanging="720"/>
      </w:pPr>
      <w:rPr/>
    </w:lvl>
    <w:lvl w:ilvl="2">
      <w:start w:val="1"/>
      <w:numFmt w:val="decimal"/>
      <w:lvlText w:val="%1.%2.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0"/>
        </w:tabs>
        <w:ind w:start="1080" w:hanging="1080"/>
      </w:pPr>
      <w:rPr/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1440" w:hanging="1440"/>
      </w:pPr>
      <w:rPr/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1800" w:hanging="180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1800" w:hanging="180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2160" w:hanging="2160"/>
      </w:pPr>
      <w:rPr/>
    </w:lvl>
  </w:abstractNum>
  <w:abstractNum w:abstractNumId="2">
    <w:lvl w:ilvl="0">
      <w:start w:val="3"/>
      <w:numFmt w:val="decimal"/>
      <w:lvlText w:val="%1"/>
      <w:lvlJc w:val="start"/>
      <w:pPr>
        <w:tabs>
          <w:tab w:val="num" w:pos="705"/>
        </w:tabs>
        <w:ind w:start="705" w:hanging="705"/>
      </w:pPr>
      <w:rPr/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1287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6">
    <w:lvl w:ilvl="0">
      <w:start w:val="8"/>
      <w:numFmt w:val="decimal"/>
      <w:lvlText w:val="%1"/>
      <w:lvlJc w:val="start"/>
      <w:pPr>
        <w:tabs>
          <w:tab w:val="num" w:pos="0"/>
        </w:tabs>
        <w:ind w:start="1425" w:hanging="360"/>
      </w:pPr>
      <w:rPr/>
    </w:lvl>
  </w:abstractNum>
  <w:abstractNum w:abstractNumId="7">
    <w:lvl w:ilvl="0">
      <w:start w:val="1"/>
      <w:numFmt w:val="decimal"/>
      <w:lvlText w:val="%1"/>
      <w:lvlJc w:val="start"/>
      <w:pPr>
        <w:tabs>
          <w:tab w:val="num" w:pos="705"/>
        </w:tabs>
        <w:ind w:start="705" w:hanging="705"/>
      </w:pPr>
      <w:rPr>
        <w:b/>
      </w:rPr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>
        <w:b w:val="false"/>
      </w:r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>
      <w:b/>
    </w:rPr>
  </w:style>
  <w:style w:type="character" w:styleId="WW8Num5z0">
    <w:name w:val="WW8Num5z0"/>
    <w:qFormat/>
    <w:rPr/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/>
  </w:style>
  <w:style w:type="character" w:styleId="WW8Num12z1">
    <w:name w:val="WW8Num12z1"/>
    <w:qFormat/>
    <w:rPr>
      <w:b w:val="false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/>
  </w:style>
  <w:style w:type="character" w:styleId="WW8Num16z0">
    <w:name w:val="WW8Num16z0"/>
    <w:qFormat/>
    <w:rPr>
      <w:b/>
    </w:rPr>
  </w:style>
  <w:style w:type="character" w:styleId="WW8Num16z1">
    <w:name w:val="WW8Num16z1"/>
    <w:qFormat/>
    <w:rPr>
      <w:b w:val="false"/>
    </w:rPr>
  </w:style>
  <w:style w:type="character" w:styleId="WW8Num16z2">
    <w:name w:val="WW8Num16z2"/>
    <w:qFormat/>
    <w:rPr/>
  </w:style>
  <w:style w:type="character" w:styleId="WW8Num17z0">
    <w:name w:val="WW8Num17z0"/>
    <w:qFormat/>
    <w:rPr>
      <w:b/>
    </w:rPr>
  </w:style>
  <w:style w:type="character" w:styleId="WW8Num17z1">
    <w:name w:val="WW8Num17z1"/>
    <w:qFormat/>
    <w:rPr>
      <w:b w:val="false"/>
    </w:rPr>
  </w:style>
  <w:style w:type="character" w:styleId="WW8Num17z2">
    <w:name w:val="WW8Num17z2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>
      <w:b w:val="false"/>
    </w:rPr>
  </w:style>
  <w:style w:type="character" w:styleId="WW8Num19z0">
    <w:name w:val="WW8Num19z0"/>
    <w:qFormat/>
    <w:rPr/>
  </w:style>
  <w:style w:type="character" w:styleId="WW8Num19z1">
    <w:name w:val="WW8Num19z1"/>
    <w:qFormat/>
    <w:rPr>
      <w:b w:val="false"/>
    </w:rPr>
  </w:style>
  <w:style w:type="character" w:styleId="WW8Num20z0">
    <w:name w:val="WW8Num20z0"/>
    <w:qFormat/>
    <w:rPr/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4"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png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wmf"/><Relationship Id="rId8" Type="http://schemas.openxmlformats.org/officeDocument/2006/relationships/image" Target="media/image7.wmf"/><Relationship Id="rId9" Type="http://schemas.openxmlformats.org/officeDocument/2006/relationships/image" Target="media/image8.wmf"/><Relationship Id="rId10" Type="http://schemas.openxmlformats.org/officeDocument/2006/relationships/image" Target="media/image9.wmf"/><Relationship Id="rId11" Type="http://schemas.openxmlformats.org/officeDocument/2006/relationships/image" Target="media/image10.wmf"/><Relationship Id="rId12" Type="http://schemas.openxmlformats.org/officeDocument/2006/relationships/image" Target="media/image11.wmf"/><Relationship Id="rId13" Type="http://schemas.openxmlformats.org/officeDocument/2006/relationships/image" Target="media/image12.wmf"/><Relationship Id="rId14" Type="http://schemas.openxmlformats.org/officeDocument/2006/relationships/image" Target="media/image13.wmf"/><Relationship Id="rId15" Type="http://schemas.openxmlformats.org/officeDocument/2006/relationships/image" Target="media/image14.wmf"/><Relationship Id="rId16" Type="http://schemas.openxmlformats.org/officeDocument/2006/relationships/image" Target="media/image15.wmf"/><Relationship Id="rId17" Type="http://schemas.openxmlformats.org/officeDocument/2006/relationships/image" Target="media/image16.wmf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2022-04-20T06:25:00Z</dcterms:created>
  <dc:creator>Elistratov</dc:creator>
  <dc:description/>
  <cp:keywords/>
  <dc:language>en-US</dc:language>
  <cp:lastModifiedBy>Емельяненко Ирина Глебовна</cp:lastModifiedBy>
  <cp:lastPrinted>2022-04-20T09:39:00Z</cp:lastPrinted>
  <dcterms:modified xsi:type="dcterms:W3CDTF">2025-11-25T08:48:00Z</dcterms:modified>
  <cp:revision>44</cp:revision>
  <dc:subject/>
  <dc:title>ЗАО «ЗАВОД ИГРОВОГО СПОРТИВНОГО ОБОРУДОВАНИЯ»</dc:title>
</cp:coreProperties>
</file>